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2428240</wp:posOffset>
                </wp:positionH>
                <wp:positionV relativeFrom="paragraph">
                  <wp:posOffset>68580</wp:posOffset>
                </wp:positionV>
                <wp:extent cx="1232332" cy="904875"/>
                <wp:effectExtent l="0" t="0" r="6350" b="952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332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left="-284"/>
                              <w:jc w:val="center"/>
                            </w:pPr>
                            <w:r>
                              <w:t xml:space="preserve">     </w:t>
                            </w:r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797357" cy="731520"/>
                                      <wp:effectExtent l="0" t="0" r="3175" b="0"/>
                                      <wp:docPr id="2" name="Рисунок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Рисунок 2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07268" cy="7406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0" o:spid="_x0000_s0" type="#_x0000_t75" style="width:62.78pt;height:57.60pt;mso-wrap-distance-left:0.00pt;mso-wrap-distance-top:0.00pt;mso-wrap-distance-right:0.00pt;mso-wrap-distance-bottom:0.00pt;" stroked="false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251656192;o:allowoverlap:true;o:allowincell:true;mso-position-horizontal-relative:text;margin-left:191.20pt;mso-position-horizontal:absolute;mso-position-vertical-relative:text;margin-top:5.40pt;mso-position-vertical:absolute;width:97.03pt;height:71.25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ind w:left="-284"/>
                        <w:jc w:val="center"/>
                      </w:pPr>
                      <w:r>
                        <w:t xml:space="preserve">     </w:t>
                      </w:r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797357" cy="731520"/>
                                <wp:effectExtent l="0" t="0" r="3175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Рисунок 2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7268" cy="7406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0" o:spid="_x0000_s0" type="#_x0000_t75" style="width:62.78pt;height:57.60pt;mso-wrap-distance-left:0.00pt;mso-wrap-distance-top:0.00pt;mso-wrap-distance-right:0.00pt;mso-wrap-distance-bottom:0.00pt;" stroked="false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17145</wp:posOffset>
                </wp:positionV>
                <wp:extent cx="6113780" cy="698500"/>
                <wp:effectExtent l="0" t="0" r="127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-14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ind w:left="142" w:right="-11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ДЕПАРТАМЕНТ ОБРА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ЗОВАНИЯ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НАУКИ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ind w:left="14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ХАНТЫ-МАНСИЙСКОГО АВТОНОМНОГО ОКРУГА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ЮГРЫ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" o:spid="_x0000_s2" o:spt="202" type="#_x0000_t202" style="position:absolute;z-index:251657216;o:allowoverlap:true;o:allowincell:true;mso-position-horizontal-relative:text;margin-left:0.60pt;mso-position-horizontal:absolute;mso-position-vertical-relative:text;margin-top:1.35pt;mso-position-vertical:absolute;width:481.40pt;height:55.00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ind w:left="-14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</w:r>
                      <w:r>
                        <w:rPr>
                          <w:b/>
                          <w:sz w:val="24"/>
                          <w:szCs w:val="24"/>
                        </w:rPr>
                      </w:r>
                      <w:r>
                        <w:rPr>
                          <w:b/>
                          <w:sz w:val="24"/>
                          <w:szCs w:val="24"/>
                        </w:rPr>
                      </w:r>
                    </w:p>
                    <w:p>
                      <w:pPr>
                        <w:ind w:left="142" w:right="-11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ДЕПАРТАМЕНТ ОБРА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ЗОВАНИЯ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И НАУКИ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</w:p>
                    <w:p>
                      <w:pPr>
                        <w:ind w:left="14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ХАНТЫ-МАНСИЙСКОГО АВТОНОМНОГО ОКРУГА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–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ЮГРЫ</w:t>
                      </w:r>
                      <w:r>
                        <w:rPr>
                          <w:b/>
                          <w:sz w:val="24"/>
                          <w:szCs w:val="24"/>
                        </w:rPr>
                      </w:r>
                      <w:r>
                        <w:rPr>
                          <w:b/>
                          <w:sz w:val="24"/>
                          <w:szCs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156845</wp:posOffset>
                </wp:positionH>
                <wp:positionV relativeFrom="paragraph">
                  <wp:posOffset>90170</wp:posOffset>
                </wp:positionV>
                <wp:extent cx="5805170" cy="1030226"/>
                <wp:effectExtent l="6350" t="635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 flipH="0" flipV="0">
                          <a:off x="0" y="0"/>
                          <a:ext cx="5805169" cy="1030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ПРИКАЗ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7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Об организации и обеспечении деятельности Апелляционной комиссии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  <w:t xml:space="preserve">Ханты-Мансийского автономного округа – Югры в 2026 году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02" type="#_x0000_t202" style="position:absolute;z-index:251658240;o:allowoverlap:true;o:allowincell:true;mso-position-horizontal-relative:text;margin-left:12.35pt;mso-position-horizontal:absolute;mso-position-vertical-relative:text;margin-top:7.10pt;mso-position-vertical:absolute;width:457.10pt;height:81.12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ПРИКАЗ</w:t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7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Об организации и обеспечении деятельности Апелляционной комиссии </w:t>
                      </w:r>
                      <w:r>
                        <w:rPr>
                          <w:sz w:val="28"/>
                          <w:szCs w:val="28"/>
                        </w:rPr>
                        <w:br/>
                        <w:t xml:space="preserve">Ханты-Мансийского автономного округа – Югры в 2026 году</w:t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color w:val="d9d9d9" w:themeColor="background1" w:themeShade="D9"/>
          <w:sz w:val="24"/>
          <w:szCs w:val="24"/>
        </w:rPr>
      </w:pP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</w:p>
    <w:p>
      <w:pPr>
        <w:jc w:val="both"/>
        <w:rPr>
          <w:color w:val="d9d9d9" w:themeColor="background1" w:themeShade="D9"/>
          <w:sz w:val="24"/>
          <w:szCs w:val="24"/>
        </w:rPr>
      </w:pP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</w:p>
    <w:p>
      <w:pPr>
        <w:jc w:val="both"/>
        <w:rPr>
          <w:color w:val="d9d9d9" w:themeColor="background1" w:themeShade="D9"/>
          <w:sz w:val="24"/>
          <w:szCs w:val="24"/>
        </w:rPr>
      </w:pPr>
      <w:r>
        <w:rPr>
          <w:color w:val="d9d9d9" w:themeColor="background1" w:themeShade="D9"/>
          <w:sz w:val="24"/>
          <w:szCs w:val="24"/>
        </w:rPr>
        <w:t xml:space="preserve">[</w:t>
      </w:r>
      <w:r>
        <w:rPr>
          <w:color w:val="d9d9d9" w:themeColor="background1" w:themeShade="D9"/>
          <w:sz w:val="24"/>
          <w:szCs w:val="24"/>
        </w:rPr>
        <w:t xml:space="preserve">Дата документа</w:t>
      </w:r>
      <w:r>
        <w:rPr>
          <w:color w:val="d9d9d9" w:themeColor="background1" w:themeShade="D9"/>
          <w:sz w:val="24"/>
          <w:szCs w:val="24"/>
        </w:rPr>
        <w:t xml:space="preserve">]</w:t>
      </w:r>
      <w:r>
        <w:rPr>
          <w:color w:val="d9d9d9" w:themeColor="background1" w:themeShade="D9"/>
          <w:sz w:val="24"/>
          <w:szCs w:val="24"/>
        </w:rPr>
        <w:t xml:space="preserve">                                                                                №  [Номер документа] </w:t>
      </w: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</w:p>
    <w:p>
      <w:pPr>
        <w:jc w:val="both"/>
        <w:rPr>
          <w:color w:val="d9d9d9" w:themeColor="background1" w:themeShade="D9"/>
          <w:sz w:val="24"/>
          <w:szCs w:val="24"/>
        </w:rPr>
      </w:pP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</w:p>
    <w:p>
      <w:pPr>
        <w:ind w:right="350"/>
        <w:jc w:val="both"/>
        <w:spacing w:line="360" w:lineRule="auto"/>
        <w:tabs>
          <w:tab w:val="left" w:pos="9498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Ханты-Мансийск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jc w:val="both"/>
        <w:spacing w:line="264" w:lineRule="auto"/>
        <w:tabs>
          <w:tab w:val="left" w:pos="949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40"/>
        <w:jc w:val="both"/>
        <w:spacing w:line="264" w:lineRule="auto"/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  <w:t xml:space="preserve">В соответствии с</w:t>
      </w:r>
      <w:r>
        <w:rPr>
          <w:sz w:val="28"/>
          <w:szCs w:val="28"/>
        </w:rPr>
        <w:t xml:space="preserve"> Порядком проведения государственной</w:t>
      </w:r>
      <w:r>
        <w:rPr>
          <w:sz w:val="28"/>
          <w:szCs w:val="28"/>
        </w:rPr>
        <w:t xml:space="preserve"> итоговой аттестации по образовательным программам основного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от 04.04.2023 № 232/551</w:t>
      </w:r>
      <w:r>
        <w:rPr>
          <w:sz w:val="28"/>
          <w:szCs w:val="28"/>
        </w:rPr>
        <w:t xml:space="preserve">, Порядком проведения государственной итоговой аттестации </w:t>
        <w:br/>
        <w:t xml:space="preserve">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</w:t>
      </w:r>
      <w:r>
        <w:rPr>
          <w:sz w:val="28"/>
          <w:szCs w:val="28"/>
        </w:rPr>
        <w:t xml:space="preserve">и науки от 04.04.2023 № 233/552 (далее вместе – порядок проведения ГИА)</w:t>
      </w:r>
      <w:r>
        <w:rPr>
          <w:sz w:val="28"/>
          <w:szCs w:val="28"/>
        </w:rPr>
        <w:t xml:space="preserve">, порядком аккредитации граждан в качестве общественных наблюдателей </w:t>
        <w:br/>
        <w:t xml:space="preserve">при проведении государственной итоговой аттестации </w:t>
      </w:r>
      <w:r>
        <w:rPr>
          <w:sz w:val="28"/>
          <w:szCs w:val="28"/>
        </w:rPr>
        <w:t xml:space="preserve">по образовательным программам основного общего и среднего общего образования, всероссийской олимпиады школьников и олимпиад школьников, утвержденным приказом Федеральной службы по надзору </w:t>
        <w:br/>
      </w:r>
      <w:r>
        <w:rPr>
          <w:sz w:val="28"/>
          <w:szCs w:val="28"/>
        </w:rPr>
        <w:t xml:space="preserve">в сфере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науки от 26.08.2022 № 924, </w:t>
      </w:r>
      <w:r>
        <w:rPr>
          <w:sz w:val="28"/>
          <w:szCs w:val="28"/>
        </w:rPr>
        <w:t xml:space="preserve">приказом Департамента образования и науки Хан</w:t>
      </w:r>
      <w:r>
        <w:rPr>
          <w:sz w:val="28"/>
          <w:szCs w:val="28"/>
        </w:rPr>
        <w:t xml:space="preserve">ты-Мансийского автономного округа – Югры (далее – Департамент, автономный округ) от 28.10.2025 № </w:t>
      </w:r>
      <w:r>
        <w:rPr>
          <w:sz w:val="28"/>
          <w:szCs w:val="28"/>
        </w:rPr>
        <w:t xml:space="preserve">10-П-2121 </w:t>
      </w:r>
      <w:r>
        <w:rPr>
          <w:sz w:val="28"/>
          <w:szCs w:val="28"/>
        </w:rPr>
        <w:br/>
        <w:t xml:space="preserve">«</w:t>
      </w:r>
      <w:r>
        <w:rPr>
          <w:sz w:val="28"/>
          <w:szCs w:val="28"/>
        </w:rPr>
        <w:t xml:space="preserve">О возложении некоторых функций на автономное учреждение </w:t>
      </w:r>
      <w:r>
        <w:rPr>
          <w:sz w:val="28"/>
          <w:szCs w:val="28"/>
        </w:rPr>
        <w:t xml:space="preserve">дополнительного профессионального образования Ханты-Мансийского </w:t>
      </w:r>
      <w:r>
        <w:rPr>
          <w:sz w:val="28"/>
          <w:szCs w:val="28"/>
        </w:rPr>
        <w:t xml:space="preserve">автономного округа – Югры «Институт развития образования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</w:t>
        <w:br/>
        <w:t xml:space="preserve">– приказ Департамента № 10-П-</w:t>
      </w:r>
      <w:r>
        <w:rPr>
          <w:sz w:val="28"/>
          <w:szCs w:val="28"/>
        </w:rPr>
        <w:t xml:space="preserve">2121</w:t>
      </w:r>
      <w:r>
        <w:rPr>
          <w:sz w:val="28"/>
          <w:szCs w:val="28"/>
        </w:rPr>
        <w:t xml:space="preserve">), письмом Федеральной службы </w:t>
        <w:br/>
        <w:t xml:space="preserve">по надзору в сфере образования и науки Российской Федерации от 23.12.2025 </w:t>
        <w:br/>
        <w:t xml:space="preserve">№ 04-451 о согласовании кандидатур председателей </w:t>
      </w:r>
      <w:r>
        <w:rPr>
          <w:sz w:val="28"/>
          <w:szCs w:val="28"/>
          <w:lang w:val="ru-RU"/>
        </w:rPr>
        <w:t xml:space="preserve">апелляционных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комиссий субъектов Российской Федерации, </w:t>
      </w:r>
      <w:r>
        <w:rPr>
          <w:sz w:val="28"/>
          <w:szCs w:val="28"/>
          <w:highlight w:val="none"/>
        </w:rPr>
        <w:t xml:space="preserve">согласно методическим рекоменда</w:t>
      </w:r>
      <w:r>
        <w:rPr>
          <w:sz w:val="28"/>
          <w:szCs w:val="28"/>
          <w:highlight w:val="none"/>
        </w:rPr>
        <w:t xml:space="preserve">циями </w:t>
      </w:r>
      <w:r>
        <w:rPr>
          <w:sz w:val="28"/>
          <w:szCs w:val="28"/>
          <w:highlight w:val="none"/>
        </w:rPr>
        <w:t xml:space="preserve">по работе апелляционной комиссии субъекта Российской Федерации при проведении государственной итоговой аттестации </w:t>
        <w:br/>
        <w:t xml:space="preserve">по образовательным программам среднего общего образования в 2026 году</w:t>
      </w:r>
      <w:r>
        <w:rPr>
          <w:sz w:val="28"/>
          <w:szCs w:val="28"/>
          <w:highlight w:val="none"/>
        </w:rPr>
        <w:t xml:space="preserve">,</w:t>
      </w:r>
      <w:r>
        <w:rPr>
          <w:sz w:val="28"/>
          <w:szCs w:val="28"/>
        </w:rPr>
        <w:t xml:space="preserve"> направленных письмом Федеральной службы по надзору в сфере образования и науки от 02</w:t>
      </w:r>
      <w:r>
        <w:rPr>
          <w:sz w:val="28"/>
          <w:szCs w:val="28"/>
          <w:highlight w:val="none"/>
        </w:rPr>
        <w:t xml:space="preserve">.02.2026 № 04-20</w:t>
      </w:r>
      <w:r>
        <w:rPr>
          <w:sz w:val="28"/>
          <w:szCs w:val="28"/>
        </w:rPr>
        <w:t xml:space="preserve">, учитывая письмо автономного учреждения дополнительного профессионального образования </w:t>
        <w:br/>
        <w:t xml:space="preserve">Ханты-Мансийского автономного округа – Югры «Институт развития образования» от 19.02.2026 № </w:t>
      </w:r>
      <w:r>
        <w:rPr>
          <w:sz w:val="28"/>
          <w:szCs w:val="28"/>
        </w:rPr>
        <w:t xml:space="preserve">10/42-Исх-329, </w:t>
      </w:r>
      <w:r>
        <w:rPr>
          <w:sz w:val="28"/>
          <w:szCs w:val="28"/>
        </w:rPr>
        <w:t xml:space="preserve">в целях обеспечения соблюдения единых требований </w:t>
      </w:r>
      <w:r>
        <w:rPr>
          <w:sz w:val="28"/>
          <w:szCs w:val="28"/>
        </w:rPr>
        <w:t xml:space="preserve">и разрешения спорных вопросов при оценке экзаменационных работ участников государственной итоговой аттестации </w:t>
        <w:br/>
        <w:t xml:space="preserve">по образовательным программам основного общего и среднего общего образования</w:t>
      </w:r>
      <w:r>
        <w:rPr>
          <w:sz w:val="28"/>
          <w:szCs w:val="28"/>
        </w:rPr>
        <w:t xml:space="preserve">, единого государственного экзамена (далее – ГИА-9, ГИА-11 (далее вместе – ГИА), ЕГЭ)</w:t>
      </w:r>
      <w:r>
        <w:rPr>
          <w:sz w:val="28"/>
          <w:szCs w:val="28"/>
        </w:rPr>
        <w:t xml:space="preserve">, а также защиты их прав, в том числе </w:t>
        <w:br/>
        <w:t xml:space="preserve">на объективное оценивание</w:t>
      </w:r>
      <w:r>
        <w:rPr>
          <w:sz w:val="28"/>
          <w:szCs w:val="28"/>
        </w:rPr>
      </w:r>
      <w:r/>
    </w:p>
    <w:p>
      <w:pPr>
        <w:ind w:firstLine="740"/>
        <w:jc w:val="both"/>
        <w:spacing w:line="264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40"/>
        <w:jc w:val="both"/>
        <w:spacing w:line="264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ПРИКАЗЫВАЮ: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40"/>
        <w:jc w:val="both"/>
        <w:spacing w:line="264" w:lineRule="auto"/>
      </w:pPr>
      <w:r/>
      <w:r/>
    </w:p>
    <w:p>
      <w:pPr>
        <w:pStyle w:val="945"/>
        <w:numPr>
          <w:ilvl w:val="0"/>
          <w:numId w:val="16"/>
        </w:numPr>
        <w:ind w:left="0" w:right="0" w:firstLine="850"/>
        <w:jc w:val="both"/>
        <w:spacing w:line="26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Создать Апелляционную комиссию автономного округа (далее </w:t>
        <w:br/>
        <w:t xml:space="preserve">– Апелляционная комиссия) по рассмотрению апелляций участников </w:t>
        <w:br/>
        <w:t xml:space="preserve">ГИА, ЕГЭ о несогласии с выставленными баллами, о нарушении порядка проведения ГИА в 2026 году.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5"/>
        <w:numPr>
          <w:ilvl w:val="0"/>
          <w:numId w:val="16"/>
        </w:numPr>
        <w:ind w:left="0" w:right="0" w:firstLine="850"/>
        <w:jc w:val="both"/>
        <w:spacing w:line="26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Утвердить</w:t>
      </w:r>
      <w:r>
        <w:rPr>
          <w:rFonts w:ascii="Times New Roman" w:hAnsi="Times New Roman"/>
          <w:sz w:val="28"/>
          <w:szCs w:val="28"/>
          <w:lang w:val="ru-RU"/>
        </w:rPr>
        <w:t xml:space="preserve">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5"/>
        <w:numPr>
          <w:ilvl w:val="1"/>
          <w:numId w:val="16"/>
        </w:numPr>
        <w:ind w:left="0" w:right="0" w:firstLine="850"/>
        <w:jc w:val="both"/>
        <w:spacing w:line="264" w:lineRule="auto"/>
        <w:rPr>
          <w:rStyle w:val="972"/>
        </w:rPr>
      </w:pPr>
      <w:r>
        <w:rPr>
          <w:rStyle w:val="972"/>
          <w:lang w:val="ru-RU"/>
        </w:rPr>
        <w:t xml:space="preserve"> </w:t>
      </w:r>
      <w:r>
        <w:rPr>
          <w:rStyle w:val="972"/>
          <w:lang w:val="ru-RU"/>
        </w:rPr>
        <w:t xml:space="preserve">Персональный состав Апелляционной комиссии </w:t>
        <w:br/>
        <w:t xml:space="preserve">по рассмотрению апелляций участников </w:t>
      </w:r>
      <w:r>
        <w:rPr>
          <w:rStyle w:val="972"/>
          <w:lang w:val="ru-RU"/>
        </w:rPr>
        <w:t xml:space="preserve">ГИА</w:t>
      </w:r>
      <w:r>
        <w:rPr>
          <w:rStyle w:val="972"/>
          <w:lang w:val="ru-RU"/>
        </w:rPr>
        <w:t xml:space="preserve">-</w:t>
      </w:r>
      <w:r>
        <w:rPr>
          <w:rStyle w:val="972"/>
          <w:lang w:val="ru-RU"/>
        </w:rPr>
        <w:t xml:space="preserve">9</w:t>
      </w:r>
      <w:r>
        <w:rPr>
          <w:rStyle w:val="972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о несогласии </w:t>
        <w:br/>
        <w:t xml:space="preserve">с выставленными баллами, о нарушении порядка проведения ГИА-9</w:t>
      </w:r>
      <w:r>
        <w:rPr>
          <w:rStyle w:val="972"/>
          <w:lang w:val="ru-RU"/>
        </w:rPr>
        <w:t xml:space="preserve"> </w:t>
        <w:br/>
        <w:t xml:space="preserve">в 2026 году</w:t>
      </w:r>
      <w:r>
        <w:rPr>
          <w:rStyle w:val="972"/>
          <w:lang w:val="en-US"/>
        </w:rPr>
        <w:t xml:space="preserve"> (</w:t>
      </w:r>
      <w:r>
        <w:rPr>
          <w:rStyle w:val="972"/>
          <w:lang w:val="ru-RU"/>
        </w:rPr>
        <w:t xml:space="preserve">приложение 1).</w:t>
      </w:r>
      <w:r>
        <w:rPr>
          <w:rStyle w:val="972"/>
        </w:rPr>
      </w:r>
      <w:r>
        <w:rPr>
          <w:rStyle w:val="972"/>
        </w:rPr>
      </w:r>
    </w:p>
    <w:p>
      <w:pPr>
        <w:pStyle w:val="945"/>
        <w:numPr>
          <w:ilvl w:val="1"/>
          <w:numId w:val="16"/>
        </w:numPr>
        <w:ind w:left="0" w:right="0" w:firstLine="850"/>
        <w:jc w:val="both"/>
        <w:spacing w:line="264" w:lineRule="auto"/>
        <w:rPr>
          <w:rStyle w:val="972"/>
        </w:rPr>
      </w:pPr>
      <w:r>
        <w:rPr>
          <w:rStyle w:val="972"/>
          <w:highlight w:val="none"/>
        </w:rPr>
      </w:r>
      <w:r>
        <w:rPr>
          <w:rStyle w:val="972"/>
          <w:lang w:val="ru-RU"/>
        </w:rPr>
        <w:t xml:space="preserve">Персональный состав Апелляционной комиссии </w:t>
        <w:br/>
        <w:t xml:space="preserve">по рассмотрению апелляций участников </w:t>
      </w:r>
      <w:r>
        <w:rPr>
          <w:rStyle w:val="972"/>
          <w:lang w:val="ru-RU"/>
        </w:rPr>
        <w:t xml:space="preserve">ГИА</w:t>
      </w:r>
      <w:r>
        <w:rPr>
          <w:rStyle w:val="972"/>
          <w:lang w:val="ru-RU"/>
        </w:rPr>
        <w:t xml:space="preserve">-</w:t>
      </w:r>
      <w:r>
        <w:rPr>
          <w:rStyle w:val="972"/>
          <w:lang w:val="ru-RU"/>
        </w:rPr>
        <w:t xml:space="preserve">11, ЕГЭ</w:t>
      </w:r>
      <w:r>
        <w:rPr>
          <w:rStyle w:val="972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о несогласии </w:t>
        <w:br/>
        <w:t xml:space="preserve">с выставленными баллами, о нарушении порядка проведения ГИА-11</w:t>
      </w:r>
      <w:r>
        <w:rPr>
          <w:rStyle w:val="972"/>
          <w:lang w:val="ru-RU"/>
        </w:rPr>
        <w:br/>
        <w:t xml:space="preserve">в 2026 году</w:t>
      </w:r>
      <w:r>
        <w:rPr>
          <w:rStyle w:val="972"/>
          <w:lang w:val="en-US"/>
        </w:rPr>
        <w:t xml:space="preserve"> (</w:t>
      </w:r>
      <w:r>
        <w:rPr>
          <w:rStyle w:val="972"/>
          <w:lang w:val="ru-RU"/>
        </w:rPr>
        <w:t xml:space="preserve">приложение 2).</w:t>
      </w:r>
      <w:r/>
      <w:r>
        <w:rPr>
          <w:rStyle w:val="972"/>
          <w:highlight w:val="none"/>
        </w:rPr>
      </w:r>
      <w:r>
        <w:rPr>
          <w:rStyle w:val="972"/>
          <w:highlight w:val="none"/>
        </w:rPr>
      </w:r>
    </w:p>
    <w:p>
      <w:pPr>
        <w:pStyle w:val="945"/>
        <w:numPr>
          <w:ilvl w:val="1"/>
          <w:numId w:val="16"/>
        </w:numPr>
        <w:ind w:left="0" w:right="0" w:firstLine="850"/>
        <w:jc w:val="both"/>
        <w:spacing w:line="264" w:lineRule="auto"/>
        <w:rPr>
          <w:rStyle w:val="972"/>
        </w:rPr>
      </w:pPr>
      <w:r>
        <w:rPr>
          <w:rStyle w:val="972"/>
          <w:highlight w:val="none"/>
          <w:lang w:val="ru-RU"/>
        </w:rPr>
        <w:t xml:space="preserve"> </w:t>
      </w:r>
      <w:r>
        <w:rPr>
          <w:rStyle w:val="972"/>
          <w:highlight w:val="none"/>
          <w:lang w:val="ru-RU"/>
        </w:rPr>
        <w:t xml:space="preserve">Положение об Апелляционной комиссии по рассмотрению апелляций участников ГИА, ЕГЭ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о несогласии с выставленными баллами, </w:t>
        <w:br/>
        <w:t xml:space="preserve">о нарушении порядка проведения ГИА</w:t>
      </w:r>
      <w:r>
        <w:rPr>
          <w:rStyle w:val="972"/>
          <w:highlight w:val="none"/>
          <w:lang w:val="ru-RU"/>
        </w:rPr>
        <w:t xml:space="preserve"> в 2026 году (далее – Положение) (приложение 3).</w:t>
      </w:r>
      <w:r>
        <w:rPr>
          <w:rStyle w:val="972"/>
        </w:rPr>
      </w:r>
      <w:r>
        <w:rPr>
          <w:rStyle w:val="972"/>
        </w:rPr>
      </w:r>
    </w:p>
    <w:p>
      <w:pPr>
        <w:pStyle w:val="945"/>
        <w:numPr>
          <w:ilvl w:val="1"/>
          <w:numId w:val="16"/>
        </w:numPr>
        <w:ind w:left="0" w:right="0" w:firstLine="850"/>
        <w:jc w:val="both"/>
        <w:spacing w:line="264" w:lineRule="auto"/>
        <w:rPr>
          <w:rStyle w:val="972"/>
        </w:rPr>
      </w:pPr>
      <w:r>
        <w:rPr>
          <w:rStyle w:val="972"/>
          <w:highlight w:val="none"/>
        </w:rPr>
        <w:t xml:space="preserve">Перечень пунктов рассмотрения апелляций, с местами их расположения </w:t>
      </w:r>
      <w:r>
        <w:rPr>
          <w:rStyle w:val="972"/>
          <w:highlight w:val="none"/>
        </w:rPr>
        <w:t xml:space="preserve">и персональным составом администраторов при проведении ГИА, ЕГЭ на территории автономного округа в 2026 году (приложение 4).</w:t>
      </w:r>
      <w:r>
        <w:rPr>
          <w:rStyle w:val="972"/>
        </w:rPr>
      </w:r>
      <w:r>
        <w:rPr>
          <w:rStyle w:val="972"/>
        </w:rPr>
      </w:r>
    </w:p>
    <w:p>
      <w:pPr>
        <w:pStyle w:val="945"/>
        <w:numPr>
          <w:ilvl w:val="0"/>
          <w:numId w:val="16"/>
        </w:numPr>
        <w:ind w:left="0" w:right="0" w:firstLine="850"/>
        <w:jc w:val="both"/>
        <w:spacing w:after="0" w:afterAutospacing="0" w:line="264" w:lineRule="auto"/>
        <w:rPr>
          <w:highlight w:val="none"/>
          <w:lang w:val="ru-RU"/>
        </w:rPr>
      </w:pPr>
      <w:r>
        <w:rPr>
          <w:rStyle w:val="972"/>
          <w:highlight w:val="none"/>
          <w:lang w:val="ru-RU"/>
        </w:rPr>
      </w:r>
      <w:r>
        <w:rPr>
          <w:rStyle w:val="972"/>
          <w:highlight w:val="none"/>
          <w:lang w:val="ru-RU"/>
        </w:rPr>
        <w:t xml:space="preserve">Автономному учреждению дополнительного профессионального образования автономного округа «Институт развития образования» </w:t>
        <w:br/>
        <w:t xml:space="preserve">– организации, уполномоченной осуществлять функции Регионального центра обработки информации (далее – РЦОИ) (Клюсова </w:t>
      </w:r>
      <w:r>
        <w:rPr>
          <w:rStyle w:val="972"/>
          <w:highlight w:val="none"/>
          <w:lang w:val="ru-RU"/>
        </w:rPr>
        <w:t xml:space="preserve">В.В.</w:t>
      </w:r>
      <w:r>
        <w:rPr>
          <w:rStyle w:val="972"/>
          <w:highlight w:val="none"/>
          <w:lang w:val="ru-RU"/>
        </w:rPr>
        <w:t xml:space="preserve">), обе</w:t>
      </w:r>
      <w:r>
        <w:rPr>
          <w:rStyle w:val="972"/>
          <w:highlight w:val="none"/>
          <w:lang w:val="ru-RU"/>
        </w:rPr>
        <w:t xml:space="preserve">спечить: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ind w:left="0" w:right="0" w:firstLine="850"/>
        <w:jc w:val="both"/>
        <w:spacing w:after="0" w:afterAutospacing="0" w:line="264" w:lineRule="auto"/>
        <w:rPr>
          <w:highlight w:val="none"/>
          <w:lang w:val="ru-RU"/>
        </w:rPr>
      </w:pPr>
      <w:r>
        <w:rPr>
          <w:rStyle w:val="972"/>
          <w:highlight w:val="none"/>
          <w:lang w:val="ru-RU"/>
        </w:rPr>
        <w:t xml:space="preserve">3.1. </w:t>
      </w:r>
      <w:r>
        <w:rPr>
          <w:rStyle w:val="972"/>
          <w:highlight w:val="none"/>
          <w:lang w:val="ru-RU"/>
        </w:rPr>
        <w:t xml:space="preserve">О</w:t>
      </w:r>
      <w:r>
        <w:rPr>
          <w:rStyle w:val="972"/>
          <w:highlight w:val="none"/>
          <w:lang w:val="ru-RU"/>
        </w:rPr>
        <w:t xml:space="preserve">с</w:t>
      </w:r>
      <w:r>
        <w:rPr>
          <w:rStyle w:val="972"/>
          <w:highlight w:val="none"/>
          <w:lang w:val="ru-RU"/>
        </w:rPr>
        <w:t xml:space="preserve">уществление деятельности Апелляционной комиссии </w:t>
        <w:br/>
        <w:t xml:space="preserve">в период проведения ГИА, ЕГЭ, в том числе в соответствии приказом Департамента № 10-</w:t>
      </w:r>
      <w:r>
        <w:rPr>
          <w:rStyle w:val="972"/>
          <w:highlight w:val="none"/>
          <w:lang w:val="ru-RU"/>
        </w:rPr>
        <w:t xml:space="preserve">П-2121, нормативными правовыми актами, регламентирующими проведение ГИА, ЕГЭ, инструктивно-методическими документами Министерства просвещения Российской Федерации, Федеральной службы по надзору в сфере образования и науки, Департамента образования и науки </w:t>
      </w:r>
      <w:r>
        <w:rPr>
          <w:rStyle w:val="972"/>
          <w:highlight w:val="none"/>
          <w:lang w:val="ru-RU"/>
        </w:rPr>
        <w:t xml:space="preserve">автономного округа, иными правовыми актами, Положением, утвержденным пунктом 2 настоящего приказа</w:t>
      </w:r>
      <w:r>
        <w:rPr>
          <w:rStyle w:val="972"/>
          <w:highlight w:val="none"/>
          <w:lang w:val="ru-RU"/>
        </w:rPr>
        <w:t xml:space="preserve">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ind w:left="0" w:right="0" w:firstLine="850"/>
        <w:jc w:val="both"/>
        <w:spacing w:after="0" w:afterAutospacing="0" w:line="264" w:lineRule="auto"/>
        <w:rPr>
          <w:highlight w:val="none"/>
          <w:lang w:val="ru-RU"/>
        </w:rPr>
      </w:pPr>
      <w:r>
        <w:rPr>
          <w:rStyle w:val="972"/>
          <w:highlight w:val="none"/>
          <w:lang w:val="ru-RU"/>
        </w:rPr>
      </w:r>
      <w:r>
        <w:rPr>
          <w:rStyle w:val="972"/>
          <w:highlight w:val="none"/>
          <w:lang w:val="ru-RU"/>
        </w:rPr>
        <w:t xml:space="preserve">3.2. </w:t>
      </w:r>
      <w:r>
        <w:rPr>
          <w:sz w:val="28"/>
          <w:szCs w:val="28"/>
        </w:rPr>
        <w:t xml:space="preserve">Информационно-методическое, организационно-техническое </w:t>
      </w:r>
      <w:r>
        <w:rPr>
          <w:sz w:val="28"/>
          <w:szCs w:val="28"/>
        </w:rPr>
        <w:br/>
        <w:t xml:space="preserve">и технологическое сопровождение деятельности </w:t>
      </w:r>
      <w:r>
        <w:rPr>
          <w:sz w:val="28"/>
          <w:szCs w:val="28"/>
        </w:rPr>
        <w:t xml:space="preserve">Апелляционной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при рассмотрении апелляций участников </w:t>
      </w:r>
      <w:r>
        <w:rPr>
          <w:sz w:val="28"/>
          <w:szCs w:val="28"/>
        </w:rPr>
        <w:t xml:space="preserve">ГИА, ЕГЭ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о несогласии </w:t>
        <w:br/>
        <w:t xml:space="preserve">с выставленными баллами, о нарушении порядка проведения ГИА</w:t>
      </w:r>
      <w:r>
        <w:rPr>
          <w:rStyle w:val="972"/>
          <w:highlight w:val="none"/>
          <w:lang w:val="ru-RU"/>
        </w:rPr>
        <w:t xml:space="preserve"> </w:t>
        <w:br/>
        <w:t xml:space="preserve">в 2026 году</w:t>
      </w:r>
      <w:r>
        <w:rPr>
          <w:sz w:val="28"/>
          <w:szCs w:val="28"/>
        </w:rPr>
        <w:t xml:space="preserve">, с использованием информационно-коммуникационных технологий в пунктах рассмотрения апелляций, организуемы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структурными подразделениями органов местного самоуправления муниципальных образований </w:t>
      </w:r>
      <w:r>
        <w:rPr>
          <w:sz w:val="28"/>
          <w:szCs w:val="28"/>
        </w:rPr>
        <w:t xml:space="preserve">автономного округа</w:t>
      </w:r>
      <w:r>
        <w:rPr>
          <w:sz w:val="28"/>
          <w:szCs w:val="28"/>
        </w:rPr>
        <w:t xml:space="preserve">, осуществляющими управление в сфере образования (далее – МОУО), государственным</w:t>
      </w:r>
      <w:r>
        <w:rPr>
          <w:sz w:val="28"/>
          <w:szCs w:val="28"/>
        </w:rPr>
        <w:t xml:space="preserve">и образовательными организациями автономного округа, </w:t>
      </w:r>
      <w:r>
        <w:rPr>
          <w:sz w:val="28"/>
          <w:szCs w:val="28"/>
        </w:rPr>
        <w:t xml:space="preserve">в том числе, с участием заявителей</w:t>
      </w:r>
      <w:r>
        <w:rPr>
          <w:rStyle w:val="1014"/>
          <w:sz w:val="28"/>
          <w:szCs w:val="28"/>
        </w:rPr>
        <w:footnoteReference w:id="2"/>
      </w:r>
      <w:r>
        <w:rPr>
          <w:sz w:val="28"/>
          <w:szCs w:val="28"/>
        </w:rPr>
        <w:t xml:space="preserve">.  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ind w:left="0" w:right="0" w:firstLine="850"/>
        <w:jc w:val="both"/>
        <w:spacing w:line="264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>
        <w:rPr>
          <w:sz w:val="28"/>
          <w:szCs w:val="28"/>
        </w:rPr>
        <w:t xml:space="preserve">Направление информационно-аналитического отчета о работе </w:t>
      </w:r>
      <w:r>
        <w:rPr>
          <w:sz w:val="28"/>
          <w:szCs w:val="28"/>
        </w:rPr>
        <w:t xml:space="preserve">Апелляционной</w:t>
      </w:r>
      <w:r>
        <w:rPr>
          <w:sz w:val="28"/>
          <w:szCs w:val="28"/>
        </w:rPr>
        <w:t xml:space="preserve"> комиссии в отдел адаптированных образовательных программ и итоговой аттестации </w:t>
      </w:r>
      <w:r>
        <w:rPr>
          <w:sz w:val="28"/>
          <w:szCs w:val="28"/>
        </w:rPr>
        <w:t xml:space="preserve">Управления общего образования </w:t>
      </w:r>
      <w:r>
        <w:rPr>
          <w:sz w:val="28"/>
          <w:szCs w:val="28"/>
        </w:rPr>
        <w:t xml:space="preserve">Департамента до 30.10.2026, с предоставлением информации </w:t>
      </w:r>
      <w:r>
        <w:rPr>
          <w:sz w:val="28"/>
          <w:szCs w:val="28"/>
        </w:rPr>
        <w:t xml:space="preserve">не позднее 10 рабочих дней после завершения каждого периода ГИА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(досрочный, основной, дополнительный)</w:t>
      </w:r>
      <w:r>
        <w:rPr>
          <w:rStyle w:val="1014"/>
          <w:sz w:val="28"/>
          <w:szCs w:val="28"/>
        </w:rPr>
        <w:footnoteReference w:id="3"/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 w:val="0"/>
        <w:ind w:left="0" w:right="0" w:firstLine="760"/>
        <w:jc w:val="both"/>
        <w:spacing w:line="264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4. Рекомендовать руководителям МОУО</w:t>
      </w:r>
      <w:r>
        <w:rPr>
          <w:sz w:val="28"/>
          <w:szCs w:val="28"/>
          <w:lang w:bidi="ru-RU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60"/>
        <w:jc w:val="both"/>
        <w:spacing w:line="264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>
        <w:rPr>
          <w:sz w:val="28"/>
          <w:szCs w:val="28"/>
        </w:rPr>
        <w:t xml:space="preserve">При организации работы в случаях подачи апелляций участниками </w:t>
      </w:r>
      <w:r>
        <w:rPr>
          <w:sz w:val="28"/>
          <w:szCs w:val="28"/>
        </w:rPr>
        <w:t xml:space="preserve">ГИА, ЕГЭ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руководствоваться Положением, утвержденным подпунктом 2.2 пункта 2 настоящего приказа, в части касающейся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60"/>
        <w:jc w:val="both"/>
        <w:spacing w:line="264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>
        <w:rPr>
          <w:sz w:val="28"/>
          <w:szCs w:val="28"/>
        </w:rPr>
        <w:t xml:space="preserve">Довести Положение, утвержденное подпунктом 2.2 </w:t>
      </w:r>
      <w:r>
        <w:rPr>
          <w:sz w:val="28"/>
          <w:szCs w:val="28"/>
        </w:rPr>
        <w:t xml:space="preserve">пункта 2</w:t>
      </w:r>
      <w:r>
        <w:rPr>
          <w:sz w:val="28"/>
          <w:szCs w:val="28"/>
        </w:rPr>
        <w:t xml:space="preserve"> настоящего приказа, места расположения пунктов рассмотрения апелляций, перечень которых утвержден подпунктом 2.3 пункта 2 настоящего приказа </w:t>
        <w:br/>
        <w:t xml:space="preserve">до сведения участников </w:t>
      </w:r>
      <w:r>
        <w:rPr>
          <w:sz w:val="28"/>
          <w:szCs w:val="28"/>
        </w:rPr>
        <w:t xml:space="preserve">ГИА, ЕГЭ</w:t>
      </w:r>
      <w:r>
        <w:rPr>
          <w:sz w:val="28"/>
          <w:szCs w:val="28"/>
        </w:rPr>
        <w:t xml:space="preserve">, родительской, педагогической общественности.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60"/>
        <w:jc w:val="both"/>
        <w:spacing w:line="264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>
        <w:rPr>
          <w:sz w:val="28"/>
          <w:szCs w:val="28"/>
        </w:rPr>
        <w:t xml:space="preserve">Обеспечить оборудование пунктов рассмотрения апелляций компьютерной и копировальной техникой, средствами видеонаблюдения для осуществления видеозаписи проведения заседаний</w:t>
      </w:r>
      <w:r>
        <w:rPr>
          <w:sz w:val="28"/>
          <w:szCs w:val="28"/>
        </w:rPr>
        <w:t xml:space="preserve"> Апелляционной комиссии, с присутствием участников ГИА, ЕГЭ</w:t>
      </w:r>
      <w:r>
        <w:rPr>
          <w:sz w:val="28"/>
          <w:szCs w:val="28"/>
        </w:rPr>
        <w:t xml:space="preserve"> в пункт</w:t>
      </w:r>
      <w:r>
        <w:rPr>
          <w:sz w:val="28"/>
          <w:szCs w:val="28"/>
        </w:rPr>
        <w:t xml:space="preserve">ах рассмотрения апелляций, обеспечить работоспособность технических средств, осуществлять иные мероприятия, необходимые для обеспечения функционирования пунктов рассмотрения апелляций, перечень которых утвержден подпунктом 2.3 пункта 2 настоящего приказа.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 w:val="0"/>
        <w:ind w:left="0" w:right="0" w:firstLine="709"/>
        <w:jc w:val="both"/>
        <w:spacing w:line="264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Руководителям образовательных организаций </w:t>
      </w:r>
      <w:r>
        <w:rPr>
          <w:sz w:val="28"/>
          <w:szCs w:val="28"/>
        </w:rPr>
        <w:t xml:space="preserve">автономного округа, подведомственных Департаменту </w:t>
      </w:r>
      <w:r>
        <w:rPr>
          <w:color w:val="000000"/>
          <w:sz w:val="28"/>
          <w:szCs w:val="28"/>
          <w:lang w:bidi="ru-RU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Хидирлясов </w:t>
      </w:r>
      <w:r>
        <w:rPr>
          <w:rFonts w:ascii="Times New Roman" w:hAnsi="Times New Roman" w:cs="Times New Roman"/>
          <w:sz w:val="28"/>
          <w:szCs w:val="28"/>
        </w:rPr>
        <w:t xml:space="preserve">Г.К.</w:t>
      </w:r>
      <w:r>
        <w:rPr>
          <w:rFonts w:ascii="Times New Roman" w:hAnsi="Times New Roman" w:cs="Times New Roman"/>
          <w:sz w:val="28"/>
          <w:szCs w:val="28"/>
        </w:rPr>
        <w:t xml:space="preserve">, Старостина</w:t>
      </w:r>
      <w:r>
        <w:rPr>
          <w:rFonts w:ascii="Times New Roman" w:hAnsi="Times New Roman" w:cs="Times New Roman"/>
          <w:sz w:val="28"/>
          <w:szCs w:val="28"/>
        </w:rPr>
        <w:t xml:space="preserve"> И.И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, Елфимова </w:t>
      </w:r>
      <w:r>
        <w:rPr>
          <w:rFonts w:ascii="Times New Roman" w:hAnsi="Times New Roman" w:cs="Times New Roman"/>
          <w:sz w:val="28"/>
          <w:szCs w:val="28"/>
        </w:rPr>
        <w:t xml:space="preserve">О.В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Свайкина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Н.В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Петрова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О.В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Мамбетов </w:t>
      </w:r>
      <w:r>
        <w:rPr>
          <w:rFonts w:ascii="Times New Roman" w:hAnsi="Times New Roman" w:cs="Times New Roman"/>
          <w:sz w:val="28"/>
          <w:szCs w:val="28"/>
        </w:rPr>
        <w:t xml:space="preserve">Б.Т.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Жуков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none"/>
          <w:lang w:val="ru-RU"/>
        </w:rPr>
        <w:t xml:space="preserve">Платонова </w:t>
      </w:r>
      <w:r>
        <w:rPr>
          <w:rFonts w:ascii="Times New Roman" w:hAnsi="Times New Roman" w:cs="Times New Roman"/>
          <w:sz w:val="28"/>
          <w:szCs w:val="28"/>
          <w:highlight w:val="none"/>
          <w:lang w:val="ru-RU"/>
        </w:rPr>
        <w:t xml:space="preserve">С.Ю., </w:t>
      </w:r>
      <w:r>
        <w:rPr>
          <w:rFonts w:ascii="Times New Roman" w:hAnsi="Times New Roman" w:cs="Times New Roman"/>
          <w:sz w:val="28"/>
          <w:szCs w:val="28"/>
        </w:rPr>
        <w:t xml:space="preserve">Максимова Л.В.</w:t>
      </w:r>
      <w:r>
        <w:rPr>
          <w:color w:val="000000"/>
          <w:sz w:val="28"/>
          <w:szCs w:val="28"/>
          <w:lang w:bidi="ru-RU"/>
        </w:rPr>
        <w:t xml:space="preserve">)</w:t>
      </w:r>
      <w:r>
        <w:rPr>
          <w:sz w:val="28"/>
          <w:szCs w:val="28"/>
        </w:rPr>
        <w:t xml:space="preserve">, обеспечить исполнение пункта 4, в части касающейся.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 w:val="0"/>
        <w:ind w:left="0" w:right="0" w:firstLine="709"/>
        <w:jc w:val="both"/>
        <w:spacing w:line="264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 xml:space="preserve">руководителям образовательных организаций автономного округа, подведомственных Департаменту культуры автономного округа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</w:t>
      </w:r>
      <w:r>
        <w:rPr>
          <w:rFonts w:ascii="Times New Roman" w:hAnsi="Times New Roman" w:cs="Times New Roman"/>
          <w:sz w:val="28"/>
          <w:szCs w:val="28"/>
          <w:lang w:val="ru-RU" w:bidi="ru-RU"/>
        </w:rPr>
        <w:t xml:space="preserve">Мишина Е.А.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Тарасов А.В.</w:t>
      </w:r>
      <w:r>
        <w:rPr>
          <w:sz w:val="28"/>
          <w:szCs w:val="28"/>
        </w:rPr>
        <w:t xml:space="preserve">), Департаменту физической культуры и спорта автономного округа (</w:t>
      </w:r>
      <w:r>
        <w:rPr>
          <w:color w:val="000000"/>
          <w:spacing w:val="-2"/>
          <w:sz w:val="28"/>
          <w:szCs w:val="28"/>
        </w:rPr>
        <w:t xml:space="preserve">Васильев </w:t>
      </w:r>
      <w:r>
        <w:rPr>
          <w:color w:val="000000"/>
          <w:spacing w:val="-2"/>
          <w:sz w:val="28"/>
          <w:szCs w:val="28"/>
        </w:rPr>
        <w:t xml:space="preserve">К.А.</w:t>
      </w:r>
      <w:r>
        <w:rPr>
          <w:sz w:val="28"/>
          <w:szCs w:val="28"/>
          <w:lang w:bidi="ru-RU"/>
        </w:rPr>
        <w:t xml:space="preserve">)</w:t>
      </w:r>
      <w:r>
        <w:rPr>
          <w:sz w:val="28"/>
          <w:szCs w:val="28"/>
          <w:lang w:bidi="ru-RU"/>
        </w:rPr>
        <w:t xml:space="preserve">, </w:t>
      </w:r>
      <w:r>
        <w:rPr>
          <w:sz w:val="28"/>
          <w:szCs w:val="28"/>
        </w:rPr>
        <w:t xml:space="preserve">обеспечить исполнение пункта 4, в части касающейся.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 w:val="0"/>
        <w:ind w:left="0" w:right="0" w:firstLine="709"/>
        <w:jc w:val="both"/>
        <w:spacing w:line="264" w:lineRule="auto"/>
        <w:widowControl w:val="off"/>
        <w:rPr>
          <w:color w:val="000000"/>
          <w:spacing w:val="1"/>
          <w:sz w:val="28"/>
          <w:szCs w:val="28"/>
        </w:rPr>
        <w:suppressLineNumbers w:val="0"/>
      </w:pPr>
      <w:r>
        <w:rPr>
          <w:sz w:val="28"/>
          <w:szCs w:val="28"/>
        </w:rPr>
        <w:t xml:space="preserve">7. Административно-ресурсному отделу Административного управления Департамента </w:t>
      </w:r>
      <w:r>
        <w:rPr>
          <w:rStyle w:val="972"/>
        </w:rPr>
        <w:t xml:space="preserve">(Никонов </w:t>
      </w:r>
      <w:r>
        <w:rPr>
          <w:rStyle w:val="972"/>
        </w:rPr>
        <w:t xml:space="preserve">А.В.</w:t>
      </w:r>
      <w:r>
        <w:rPr>
          <w:rStyle w:val="972"/>
        </w:rPr>
        <w:t xml:space="preserve">) </w:t>
      </w:r>
      <w:r>
        <w:rPr>
          <w:sz w:val="28"/>
          <w:szCs w:val="28"/>
        </w:rPr>
        <w:t xml:space="preserve">обеспечить размещение </w:t>
      </w:r>
      <w:r>
        <w:rPr>
          <w:sz w:val="28"/>
          <w:szCs w:val="28"/>
        </w:rPr>
        <w:t xml:space="preserve">на официальном сайте Департамента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и рассылку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настоящего приказа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 </w:t>
        <w:br/>
        <w:t xml:space="preserve">в МОУО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автономное учреждение профессионального образования автономного округа «Ханты-Мансийский технолого-педагогический колледж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»,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казенное общеобразовательное учреждение автономного округа «Специальная учебно-воспитательная школа № 1»,</w:t>
      </w:r>
      <w:r>
        <w:rPr>
          <w:rStyle w:val="972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Style w:val="972"/>
          <w:rFonts w:ascii="Times New Roman" w:hAnsi="Times New Roman" w:cs="Times New Roman"/>
          <w:sz w:val="28"/>
          <w:szCs w:val="28"/>
          <w:highlight w:val="none"/>
        </w:rPr>
        <w:t xml:space="preserve">казенное общеобразовательное учреждение автономного округа «Специальная</w:t>
      </w:r>
      <w:r>
        <w:rPr>
          <w:rStyle w:val="972"/>
          <w:rFonts w:ascii="Times New Roman" w:hAnsi="Times New Roman" w:cs="Times New Roman"/>
          <w:sz w:val="28"/>
          <w:szCs w:val="28"/>
          <w:highlight w:val="none"/>
        </w:rPr>
        <w:t xml:space="preserve"> учебно-воспитательная школа № 2</w:t>
      </w:r>
      <w:r>
        <w:rPr>
          <w:rStyle w:val="972"/>
          <w:rFonts w:ascii="Times New Roman" w:hAnsi="Times New Roman" w:cs="Times New Roman"/>
          <w:sz w:val="28"/>
          <w:szCs w:val="28"/>
          <w:highlight w:val="none"/>
        </w:rPr>
        <w:t xml:space="preserve">»</w:t>
      </w:r>
      <w:r>
        <w:rPr>
          <w:rStyle w:val="972"/>
          <w:rFonts w:ascii="Times New Roman" w:hAnsi="Times New Roman" w:cs="Times New Roman"/>
          <w:sz w:val="28"/>
          <w:szCs w:val="28"/>
          <w:highlight w:val="none"/>
        </w:rPr>
        <w:t xml:space="preserve">,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казенное общеобразовательное учреждение автономного округа  «Нижневартовская школа для обучающихся </w:t>
        <w:br/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с ограниченными возможностями здоровья № 1», казенное общеобразовательное учреждение автономного округа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«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Урайская школа для обучающихся с о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граниченными возможностями здоровья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»,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казенное общеобразовательное учреждение автономного округа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«Кадетская школа-интернат имени Героя Советского Союза Безноскова Ивана Захаровича», казенное общеобразовательное учреждение автономного округа «Излучинская школа-интернат для обучающихся с ограниченными возможностями здоровья»,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972"/>
          <w:rFonts w:ascii="Times New Roman" w:hAnsi="Times New Roman" w:cs="Times New Roman"/>
          <w:sz w:val="28"/>
          <w:szCs w:val="28"/>
          <w:highlight w:val="none"/>
        </w:rPr>
        <w:t xml:space="preserve">бюджетное общеобразовательное учреждение автономного округа «Югорский физико-математический лицей-интернат», </w:t>
      </w:r>
      <w:r>
        <w:rPr>
          <w:rStyle w:val="972"/>
          <w:rFonts w:ascii="Times New Roman" w:hAnsi="Times New Roman" w:cs="Times New Roman"/>
          <w:sz w:val="28"/>
          <w:szCs w:val="28"/>
          <w:highlight w:val="none"/>
        </w:rPr>
        <w:t xml:space="preserve">бюджетное общеобразовательное учреждение автономного округа</w:t>
      </w:r>
      <w:r>
        <w:rPr>
          <w:rStyle w:val="972"/>
          <w:rFonts w:ascii="Times New Roman" w:hAnsi="Times New Roman" w:cs="Times New Roman"/>
          <w:sz w:val="28"/>
          <w:szCs w:val="28"/>
          <w:highlight w:val="none"/>
        </w:rPr>
        <w:t xml:space="preserve"> «Лицей им. Ф.Г. Атякшева»</w:t>
      </w:r>
      <w:r>
        <w:rPr>
          <w:rStyle w:val="972"/>
          <w:rFonts w:ascii="Times New Roman" w:hAnsi="Times New Roman" w:cs="Times New Roman"/>
          <w:sz w:val="28"/>
          <w:szCs w:val="28"/>
          <w:highlight w:val="none"/>
        </w:rPr>
        <w:t xml:space="preserve">,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бюджетное профессиональное образовательное учреждение автономного округа «Ко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лледж-интернат Центр искусств для одарённых детей Севера», автономное профессиональное образовательное учреждение автономного округа «Югорский колледж-интернат олимпийского резерва», бюджетное профессиональное образовательное учреж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д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е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ние автономного округа «Сургутский колледж русской культуры им. А.С. Знаменского», </w:t>
      </w:r>
      <w:r>
        <w:rPr>
          <w:rStyle w:val="972"/>
          <w:rFonts w:ascii="Times New Roman" w:hAnsi="Times New Roman" w:cs="Times New Roman"/>
          <w:sz w:val="28"/>
          <w:szCs w:val="28"/>
        </w:rPr>
        <w:t xml:space="preserve">РЦОИ.</w:t>
      </w:r>
      <w:r>
        <w:rPr>
          <w:color w:val="000000"/>
          <w:spacing w:val="1"/>
          <w:sz w:val="28"/>
          <w:szCs w:val="26"/>
        </w:rPr>
        <w:t xml:space="preserve">.</w:t>
      </w:r>
      <w:r>
        <w:rPr>
          <w:color w:val="000000"/>
          <w:spacing w:val="1"/>
          <w:sz w:val="28"/>
          <w:szCs w:val="28"/>
        </w:rPr>
      </w:r>
      <w:r>
        <w:rPr>
          <w:color w:val="000000"/>
          <w:spacing w:val="1"/>
          <w:sz w:val="28"/>
          <w:szCs w:val="28"/>
        </w:rPr>
      </w:r>
    </w:p>
    <w:p>
      <w:pPr>
        <w:contextualSpacing w:val="0"/>
        <w:ind w:left="0" w:right="0" w:firstLine="709"/>
        <w:jc w:val="both"/>
        <w:spacing w:line="264" w:lineRule="auto"/>
        <w:widowControl w:val="off"/>
        <w:rPr>
          <w:sz w:val="28"/>
          <w:szCs w:val="28"/>
        </w:rPr>
        <w:suppressLineNumbers w:val="0"/>
      </w:pPr>
      <w:r>
        <w:rPr>
          <w:color w:val="000000"/>
          <w:spacing w:val="1"/>
          <w:sz w:val="28"/>
          <w:szCs w:val="26"/>
        </w:rPr>
        <w:t xml:space="preserve">8. </w:t>
      </w:r>
      <w:r>
        <w:rPr>
          <w:rFonts w:eastAsia="Sylfaen"/>
          <w:sz w:val="28"/>
          <w:szCs w:val="28"/>
        </w:rPr>
        <w:t xml:space="preserve">Контроль</w:t>
      </w:r>
      <w:r>
        <w:rPr>
          <w:sz w:val="28"/>
          <w:szCs w:val="28"/>
        </w:rPr>
        <w:t xml:space="preserve"> за исполнением настоящего приказа возложить </w:t>
      </w:r>
      <w:r>
        <w:rPr>
          <w:sz w:val="28"/>
          <w:szCs w:val="28"/>
        </w:rPr>
        <w:br/>
        <w:t xml:space="preserve">на заместителя директора Департамента И.В. Святченко.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jc w:val="both"/>
        <w:spacing w:line="264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6"/>
        <w:ind w:left="0"/>
        <w:jc w:val="left"/>
        <w:spacing w:line="264" w:lineRule="auto"/>
        <w:rPr>
          <w:sz w:val="28"/>
          <w:szCs w:val="28"/>
          <w:highlight w:val="none"/>
          <w:lang w:val="en-US"/>
        </w:rPr>
      </w:pPr>
      <w:r>
        <w:rPr>
          <w:sz w:val="28"/>
          <w:szCs w:val="28"/>
          <w:highlight w:val="none"/>
          <w:lang w:val="en-US"/>
        </w:rPr>
      </w:r>
      <w:r>
        <w:rPr>
          <w:sz w:val="28"/>
          <w:szCs w:val="28"/>
          <w:highlight w:val="none"/>
          <w:lang w:val="en-US"/>
        </w:rPr>
      </w:r>
      <w:r>
        <w:rPr>
          <w:sz w:val="28"/>
          <w:szCs w:val="28"/>
          <w:highlight w:val="none"/>
          <w:lang w:val="en-US"/>
        </w:rPr>
      </w:r>
    </w:p>
    <w:p>
      <w:pPr>
        <w:pStyle w:val="946"/>
        <w:ind w:left="0"/>
        <w:jc w:val="left"/>
        <w:spacing w:line="264" w:lineRule="auto"/>
        <w:rPr>
          <w:sz w:val="28"/>
          <w:szCs w:val="28"/>
          <w:highlight w:val="none"/>
          <w:lang w:val="en-US"/>
        </w:rPr>
      </w:pPr>
      <w:r>
        <w:rPr>
          <w:sz w:val="28"/>
          <w:szCs w:val="28"/>
          <w:highlight w:val="none"/>
          <w:lang w:val="en-US"/>
        </w:rPr>
      </w:r>
      <w:r>
        <w:rPr>
          <w:sz w:val="28"/>
          <w:szCs w:val="28"/>
          <w:highlight w:val="none"/>
          <w:lang w:val="en-US"/>
        </w:rPr>
      </w:r>
      <w:r>
        <w:rPr>
          <w:sz w:val="28"/>
          <w:szCs w:val="28"/>
          <w:highlight w:val="none"/>
          <w:lang w:val="en-US"/>
        </w:rPr>
      </w:r>
    </w:p>
    <w:tbl>
      <w:tblPr>
        <w:tblW w:w="941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17"/>
        <w:gridCol w:w="3912"/>
        <w:gridCol w:w="2183"/>
      </w:tblGrid>
      <w:tr>
        <w:tblPrEx/>
        <w:trPr>
          <w:trHeight w:val="1641"/>
        </w:trPr>
        <w:tc>
          <w:tcPr>
            <w:tcW w:w="3317" w:type="dxa"/>
            <w:textDirection w:val="lrTb"/>
            <w:noWrap w:val="false"/>
          </w:tcPr>
          <w:p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директора Департамента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W w:w="39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b/>
                <w:color w:val="d9d9d9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-26035</wp:posOffset>
                      </wp:positionV>
                      <wp:extent cx="2447925" cy="1003300"/>
                      <wp:effectExtent l="0" t="0" r="9525" b="6350"/>
                      <wp:wrapNone/>
                      <wp:docPr id="5" name="Рисунок 1" descr="Изображение выглядит как текст, снимок экрана, Прямоугольник, дизайн&#10;&#10;Содержимое, созданное искусственным интеллектом, может быть неверным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98414267" name="Рисунок 1" descr="Изображение выглядит как текст, снимок экрана, Прямоугольник, дизайн&#10;&#10;Содержимое, созданное искусственным интеллектом, может быть неверным.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447923" cy="100329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position:absolute;z-index:-251659264;o:allowoverlap:true;o:allowincell:true;mso-position-horizontal-relative:text;margin-left:-4.80pt;mso-position-horizontal:absolute;mso-position-vertical-relative:text;margin-top:-2.05pt;mso-position-vertical:absolute;width:192.75pt;height:79.00pt;mso-wrap-distance-left:9.00pt;mso-wrap-distance-top:0.00pt;mso-wrap-distance-right:9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b/>
                <w:color w:val="d9d9d9"/>
              </w:rPr>
              <w:t xml:space="preserve">ДОКУМЕНТ ПОДПИСАН</w:t>
            </w:r>
            <w:r>
              <w:rPr>
                <w:rFonts w:ascii="Calibri" w:hAnsi="Calibri" w:cs="Calibri"/>
                <w:b/>
                <w:color w:val="d9d9d9"/>
              </w:rPr>
            </w:r>
            <w:r>
              <w:rPr>
                <w:rFonts w:ascii="Calibri" w:hAnsi="Calibri" w:cs="Calibri"/>
                <w:b/>
                <w:color w:val="d9d9d9"/>
              </w:rPr>
            </w:r>
          </w:p>
          <w:p>
            <w:pPr>
              <w:jc w:val="center"/>
              <w:rPr>
                <w:rFonts w:ascii="Calibri" w:hAnsi="Calibri" w:cs="Calibri"/>
                <w:b/>
                <w:color w:val="d9d9d9"/>
              </w:rPr>
            </w:pPr>
            <w:r>
              <w:rPr>
                <w:rFonts w:ascii="Calibri" w:hAnsi="Calibri" w:cs="Calibri"/>
                <w:b/>
                <w:color w:val="d9d9d9"/>
              </w:rPr>
              <w:t xml:space="preserve">ЭЛЕКТРОННОЙ ПОДПИСЬЮ</w:t>
            </w:r>
            <w:r>
              <w:rPr>
                <w:rFonts w:ascii="Calibri" w:hAnsi="Calibri" w:cs="Calibri"/>
                <w:b/>
                <w:color w:val="d9d9d9"/>
              </w:rPr>
            </w:r>
            <w:r>
              <w:rPr>
                <w:rFonts w:ascii="Calibri" w:hAnsi="Calibri" w:cs="Calibri"/>
                <w:b/>
                <w:color w:val="d9d9d9"/>
              </w:rPr>
            </w:r>
          </w:p>
          <w:p>
            <w:pPr>
              <w:rPr>
                <w:rFonts w:ascii="Calibri" w:hAnsi="Calibri" w:cs="Calibri"/>
                <w:color w:val="d9d9d9"/>
                <w:sz w:val="8"/>
                <w:szCs w:val="8"/>
              </w:rPr>
            </w:pPr>
            <w:r>
              <w:rPr>
                <w:rFonts w:ascii="Calibri" w:hAnsi="Calibri" w:cs="Calibri"/>
                <w:color w:val="d9d9d9"/>
                <w:sz w:val="8"/>
                <w:szCs w:val="8"/>
              </w:rPr>
            </w:r>
            <w:r>
              <w:rPr>
                <w:rFonts w:ascii="Calibri" w:hAnsi="Calibri" w:cs="Calibri"/>
                <w:color w:val="d9d9d9"/>
                <w:sz w:val="8"/>
                <w:szCs w:val="8"/>
              </w:rPr>
            </w:r>
            <w:r>
              <w:rPr>
                <w:rFonts w:ascii="Calibri" w:hAnsi="Calibri" w:cs="Calibri"/>
                <w:color w:val="d9d9d9"/>
                <w:sz w:val="8"/>
                <w:szCs w:val="8"/>
              </w:rPr>
            </w:r>
          </w:p>
          <w:p>
            <w:pPr>
              <w:ind w:firstLine="142"/>
              <w:rPr>
                <w:rFonts w:ascii="Calibri" w:hAnsi="Calibri" w:cs="Calibri"/>
                <w:color w:val="d9d9d9"/>
                <w:sz w:val="18"/>
                <w:szCs w:val="18"/>
              </w:rPr>
            </w:pP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Сертификат [Номер сертификата 1]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</w:r>
          </w:p>
          <w:p>
            <w:pPr>
              <w:ind w:firstLine="142"/>
              <w:rPr>
                <w:rFonts w:ascii="Calibri" w:hAnsi="Calibri" w:cs="Calibri"/>
                <w:color w:val="d9d9d9"/>
                <w:sz w:val="18"/>
                <w:szCs w:val="18"/>
              </w:rPr>
            </w:pP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Владелец [Владелец сертификата 1]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</w:r>
          </w:p>
          <w:p>
            <w:pPr>
              <w:ind w:firstLine="142"/>
              <w:rPr>
                <w:sz w:val="10"/>
                <w:szCs w:val="10"/>
              </w:rPr>
            </w:pP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Действителен с [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ДатаС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 1] по [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ДатаПо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 1]</w:t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С.А. Возняк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</w:tbl>
    <w:p>
      <w:pPr>
        <w:shd w:val="nil" w:color="auto"/>
        <w:rPr>
          <w:sz w:val="28"/>
          <w:szCs w:val="28"/>
          <w:highlight w:val="none"/>
          <w:lang w:val="en-US"/>
        </w:rPr>
      </w:pPr>
      <w:r>
        <w:rPr>
          <w:sz w:val="28"/>
          <w:szCs w:val="28"/>
          <w:highlight w:val="none"/>
          <w:lang w:val="en-US"/>
        </w:rPr>
      </w:r>
      <w:r>
        <w:rPr>
          <w:sz w:val="28"/>
          <w:szCs w:val="28"/>
          <w:highlight w:val="none"/>
          <w:lang w:val="en-US"/>
        </w:rPr>
      </w:r>
      <w:r>
        <w:rPr>
          <w:sz w:val="28"/>
          <w:szCs w:val="28"/>
          <w:highlight w:val="none"/>
          <w:lang w:val="en-US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1134" w:bottom="1106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Sylfaen">
    <w:panose1 w:val="010A0502050306030303"/>
  </w:font>
  <w:font w:name="Verdana">
    <w:panose1 w:val="020B0604030504040204"/>
  </w:font>
  <w:font w:name="Book Antiqua">
    <w:panose1 w:val="0204060205030503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12"/>
        <w:ind w:firstLine="720"/>
        <w:jc w:val="both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Style w:val="1014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Сопровождение деятельности Апелляционной комиссии, в том числе содержит </w:t>
      </w:r>
      <w:r>
        <w:rPr>
          <w:sz w:val="22"/>
          <w:szCs w:val="22"/>
        </w:rPr>
        <w:t xml:space="preserve">подготовительную работу</w:t>
      </w:r>
      <w:r>
        <w:rPr>
          <w:sz w:val="22"/>
          <w:szCs w:val="22"/>
        </w:rPr>
        <w:t xml:space="preserve">, предусматривающую консультирование администраторов пунктов рассмотрения апелляций, снабжение пунктов рассмотрения апелляций программным обеспечением, организацию проверки </w:t>
      </w:r>
      <w:r>
        <w:rPr>
          <w:sz w:val="22"/>
          <w:szCs w:val="22"/>
        </w:rPr>
        <w:t xml:space="preserve">его работоспособности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иные мероприятия, необходимые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для обеспечения функционирования пунктов рассмотрения апелляций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</w:footnote>
  <w:footnote w:id="3">
    <w:p>
      <w:pPr>
        <w:pStyle w:val="1012"/>
        <w:ind w:firstLine="720"/>
        <w:jc w:val="both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Style w:val="1014"/>
          <w:rFonts w:ascii="Times New Roman" w:hAnsi="Times New Roman" w:eastAsia="Times New Roman" w:cs="Times New Roman"/>
          <w:sz w:val="22"/>
          <w:szCs w:val="22"/>
        </w:rPr>
        <w:footnoteRef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Сроки установлены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техническим заданием на реализацию мероприятий государственного задания на оказание государственной услуги (выполнении работы): «Оценка качества образования», РЦОИ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2026 году, курируемых специалистами отдела адаптированных образовательных программ и итоговой аттестации Управления общего образования Департамента образования и науки Ханты-Мансийского автон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омного округа – Югры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», утвержденным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приказом Департамента от 26.01.2026 №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</w:rPr>
        <w:t xml:space="preserve">10-П-111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</w:pPr>
    <w:fldSimple w:instr="PAGE \* MERGEFORMAT">
      <w:r>
        <w:t xml:space="preserve">1</w:t>
      </w:r>
    </w:fldSimple>
    <w:r/>
    <w:r/>
  </w:p>
  <w:p>
    <w:pPr>
      <w:pStyle w:val="95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rPr>
        <w:rStyle w:val="962"/>
      </w:rPr>
      <w:framePr w:wrap="around" w:vAnchor="text" w:hAnchor="margin" w:xAlign="center" w:y="1"/>
    </w:pPr>
    <w:r>
      <w:rPr>
        <w:rStyle w:val="962"/>
      </w:rPr>
      <w:fldChar w:fldCharType="begin"/>
    </w:r>
    <w:r>
      <w:rPr>
        <w:rStyle w:val="962"/>
      </w:rPr>
      <w:instrText xml:space="preserve">PAGE  </w:instrText>
    </w:r>
    <w:r>
      <w:rPr>
        <w:rStyle w:val="962"/>
      </w:rPr>
      <w:fldChar w:fldCharType="end"/>
    </w:r>
    <w:r>
      <w:rPr>
        <w:rStyle w:val="962"/>
      </w:rPr>
    </w:r>
    <w:r>
      <w:rPr>
        <w:rStyle w:val="962"/>
      </w:rPr>
    </w:r>
  </w:p>
  <w:p>
    <w:pPr>
      <w:pStyle w:val="955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3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86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9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9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0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80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30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1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89" w:hanging="144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" w:hanging="423"/>
      </w:pPr>
      <w:rPr>
        <w:rFonts w:hint="default" w:ascii="Times New Roman" w:hAnsi="Times New Roman" w:eastAsia="Times New Roman" w:cs="Times New Roman"/>
        <w:spacing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312" w:hanging="493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" w:hanging="887"/>
      </w:pPr>
      <w:rPr>
        <w:rFonts w:hint="default" w:ascii="Times New Roman" w:hAnsi="Times New Roman" w:eastAsia="Times New Roman" w:cs="Times New Roman"/>
        <w:spacing w:val="-3"/>
        <w:sz w:val="28"/>
        <w:szCs w:val="28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90" w:hanging="88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75" w:hanging="88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60" w:hanging="88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45" w:hanging="88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630" w:hanging="88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16" w:hanging="887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2"/>
      <w:numFmt w:val="decimal"/>
      <w:isLgl w:val="false"/>
      <w:suff w:val="space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6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6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6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6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1" w:hanging="1020"/>
      </w:pPr>
      <w:rPr>
        <w:rFonts w:ascii="Times New Roman" w:hAnsi="Times New Roman" w:eastAsia="Times New Roman" w:cs="Times New Roman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2022" w:hanging="145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164" w:hanging="145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4" w:hanging="145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4" w:hanging="145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4" w:hanging="1455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1" w:hanging="1020"/>
      </w:pPr>
      <w:rPr>
        <w:rFonts w:ascii="Times New Roman" w:hAnsi="Times New Roman" w:eastAsia="Times New Roman" w:cs="Times New Roman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2022" w:hanging="145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164" w:hanging="145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4" w:hanging="145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4" w:hanging="145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4" w:hanging="1455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ascii="Times New Roman" w:hAnsi="Times New Roman" w:eastAsia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86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9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9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0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80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30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1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89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0" w:hanging="69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300" w:hanging="78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" w:hanging="83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sz w:val="28"/>
        <w:szCs w:val="28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97" w:hanging="83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30" w:hanging="83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963" w:hanging="83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95" w:hanging="83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28" w:hanging="83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61" w:hanging="838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86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9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9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0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80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30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1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89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86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9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9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0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80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30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1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89" w:hanging="144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4">
    <w:name w:val="Heading 1 Char"/>
    <w:basedOn w:val="934"/>
    <w:link w:val="928"/>
    <w:uiPriority w:val="9"/>
    <w:rPr>
      <w:rFonts w:ascii="Arial" w:hAnsi="Arial" w:eastAsia="Arial" w:cs="Arial"/>
      <w:sz w:val="40"/>
      <w:szCs w:val="40"/>
    </w:rPr>
  </w:style>
  <w:style w:type="character" w:styleId="765">
    <w:name w:val="Heading 2 Char"/>
    <w:basedOn w:val="934"/>
    <w:link w:val="929"/>
    <w:uiPriority w:val="9"/>
    <w:rPr>
      <w:rFonts w:ascii="Arial" w:hAnsi="Arial" w:eastAsia="Arial" w:cs="Arial"/>
      <w:sz w:val="34"/>
    </w:rPr>
  </w:style>
  <w:style w:type="character" w:styleId="766">
    <w:name w:val="Heading 3 Char"/>
    <w:basedOn w:val="934"/>
    <w:link w:val="930"/>
    <w:uiPriority w:val="9"/>
    <w:rPr>
      <w:rFonts w:ascii="Arial" w:hAnsi="Arial" w:eastAsia="Arial" w:cs="Arial"/>
      <w:sz w:val="30"/>
      <w:szCs w:val="30"/>
    </w:rPr>
  </w:style>
  <w:style w:type="character" w:styleId="767">
    <w:name w:val="Heading 4 Char"/>
    <w:basedOn w:val="934"/>
    <w:link w:val="931"/>
    <w:uiPriority w:val="9"/>
    <w:rPr>
      <w:rFonts w:ascii="Arial" w:hAnsi="Arial" w:eastAsia="Arial" w:cs="Arial"/>
      <w:b/>
      <w:bCs/>
      <w:sz w:val="26"/>
      <w:szCs w:val="26"/>
    </w:rPr>
  </w:style>
  <w:style w:type="character" w:styleId="768">
    <w:name w:val="Heading 5 Char"/>
    <w:basedOn w:val="934"/>
    <w:link w:val="932"/>
    <w:uiPriority w:val="9"/>
    <w:rPr>
      <w:rFonts w:ascii="Arial" w:hAnsi="Arial" w:eastAsia="Arial" w:cs="Arial"/>
      <w:b/>
      <w:bCs/>
      <w:sz w:val="24"/>
      <w:szCs w:val="24"/>
    </w:rPr>
  </w:style>
  <w:style w:type="paragraph" w:styleId="769">
    <w:name w:val="Heading 6"/>
    <w:basedOn w:val="927"/>
    <w:next w:val="927"/>
    <w:link w:val="7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0">
    <w:name w:val="Heading 6 Char"/>
    <w:basedOn w:val="934"/>
    <w:link w:val="769"/>
    <w:uiPriority w:val="9"/>
    <w:rPr>
      <w:rFonts w:ascii="Arial" w:hAnsi="Arial" w:eastAsia="Arial" w:cs="Arial"/>
      <w:b/>
      <w:bCs/>
      <w:sz w:val="22"/>
      <w:szCs w:val="22"/>
    </w:rPr>
  </w:style>
  <w:style w:type="character" w:styleId="771">
    <w:name w:val="Heading 7 Char"/>
    <w:basedOn w:val="934"/>
    <w:link w:val="9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2">
    <w:name w:val="Heading 8"/>
    <w:basedOn w:val="927"/>
    <w:next w:val="927"/>
    <w:link w:val="7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3">
    <w:name w:val="Heading 8 Char"/>
    <w:basedOn w:val="934"/>
    <w:link w:val="772"/>
    <w:uiPriority w:val="9"/>
    <w:rPr>
      <w:rFonts w:ascii="Arial" w:hAnsi="Arial" w:eastAsia="Arial" w:cs="Arial"/>
      <w:i/>
      <w:iCs/>
      <w:sz w:val="22"/>
      <w:szCs w:val="22"/>
    </w:rPr>
  </w:style>
  <w:style w:type="paragraph" w:styleId="774">
    <w:name w:val="Heading 9"/>
    <w:basedOn w:val="927"/>
    <w:next w:val="927"/>
    <w:link w:val="7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5">
    <w:name w:val="Heading 9 Char"/>
    <w:basedOn w:val="934"/>
    <w:link w:val="774"/>
    <w:uiPriority w:val="9"/>
    <w:rPr>
      <w:rFonts w:ascii="Arial" w:hAnsi="Arial" w:eastAsia="Arial" w:cs="Arial"/>
      <w:i/>
      <w:iCs/>
      <w:sz w:val="21"/>
      <w:szCs w:val="21"/>
    </w:rPr>
  </w:style>
  <w:style w:type="character" w:styleId="776">
    <w:name w:val="Title Char"/>
    <w:basedOn w:val="934"/>
    <w:link w:val="949"/>
    <w:uiPriority w:val="10"/>
    <w:rPr>
      <w:sz w:val="48"/>
      <w:szCs w:val="48"/>
    </w:rPr>
  </w:style>
  <w:style w:type="paragraph" w:styleId="777">
    <w:name w:val="Subtitle"/>
    <w:basedOn w:val="927"/>
    <w:next w:val="927"/>
    <w:link w:val="778"/>
    <w:uiPriority w:val="11"/>
    <w:qFormat/>
    <w:pPr>
      <w:spacing w:before="200" w:after="200"/>
    </w:pPr>
    <w:rPr>
      <w:sz w:val="24"/>
      <w:szCs w:val="24"/>
    </w:rPr>
  </w:style>
  <w:style w:type="character" w:styleId="778">
    <w:name w:val="Subtitle Char"/>
    <w:basedOn w:val="934"/>
    <w:link w:val="777"/>
    <w:uiPriority w:val="11"/>
    <w:rPr>
      <w:sz w:val="24"/>
      <w:szCs w:val="24"/>
    </w:rPr>
  </w:style>
  <w:style w:type="paragraph" w:styleId="779">
    <w:name w:val="Quote"/>
    <w:basedOn w:val="927"/>
    <w:next w:val="927"/>
    <w:link w:val="780"/>
    <w:uiPriority w:val="29"/>
    <w:qFormat/>
    <w:pPr>
      <w:ind w:left="720" w:right="720"/>
    </w:pPr>
    <w:rPr>
      <w:i/>
    </w:rPr>
  </w:style>
  <w:style w:type="character" w:styleId="780">
    <w:name w:val="Quote Char"/>
    <w:link w:val="779"/>
    <w:uiPriority w:val="29"/>
    <w:rPr>
      <w:i/>
    </w:rPr>
  </w:style>
  <w:style w:type="paragraph" w:styleId="781">
    <w:name w:val="Intense Quote"/>
    <w:basedOn w:val="927"/>
    <w:next w:val="927"/>
    <w:link w:val="7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2">
    <w:name w:val="Intense Quote Char"/>
    <w:link w:val="781"/>
    <w:uiPriority w:val="30"/>
    <w:rPr>
      <w:i/>
    </w:rPr>
  </w:style>
  <w:style w:type="character" w:styleId="783">
    <w:name w:val="Header Char"/>
    <w:basedOn w:val="934"/>
    <w:link w:val="955"/>
    <w:uiPriority w:val="99"/>
  </w:style>
  <w:style w:type="character" w:styleId="784">
    <w:name w:val="Footer Char"/>
    <w:basedOn w:val="934"/>
    <w:link w:val="956"/>
    <w:uiPriority w:val="99"/>
  </w:style>
  <w:style w:type="paragraph" w:styleId="785">
    <w:name w:val="Caption"/>
    <w:basedOn w:val="927"/>
    <w:next w:val="927"/>
    <w:link w:val="7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6">
    <w:name w:val="Caption Char"/>
    <w:basedOn w:val="785"/>
    <w:link w:val="956"/>
    <w:uiPriority w:val="99"/>
  </w:style>
  <w:style w:type="table" w:styleId="787">
    <w:name w:val="Table Grid Light"/>
    <w:basedOn w:val="9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Plain Table 1"/>
    <w:basedOn w:val="9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2"/>
    <w:basedOn w:val="9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>
    <w:name w:val="Plain Table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Plain Table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3">
    <w:name w:val="Grid Table 1 Light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4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>
    <w:name w:val="Grid Table 4 - Accent 1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6">
    <w:name w:val="Grid Table 4 - Accent 2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Grid Table 4 - Accent 3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8">
    <w:name w:val="Grid Table 4 - Accent 4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Grid Table 4 - Accent 5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0">
    <w:name w:val="Grid Table 4 - Accent 6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1">
    <w:name w:val="Grid Table 5 Dark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2">
    <w:name w:val="Grid Table 5 Dark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8">
    <w:name w:val="Grid Table 6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9">
    <w:name w:val="Grid Table 6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0">
    <w:name w:val="Grid Table 6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1">
    <w:name w:val="Grid Table 6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2">
    <w:name w:val="Grid Table 6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3">
    <w:name w:val="Grid Table 6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6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7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0">
    <w:name w:val="List Table 2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1">
    <w:name w:val="List Table 2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2">
    <w:name w:val="List Table 2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3">
    <w:name w:val="List Table 2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4">
    <w:name w:val="List Table 2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5">
    <w:name w:val="List Table 2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6">
    <w:name w:val="List Table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5 Dark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6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8">
    <w:name w:val="List Table 6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9">
    <w:name w:val="List Table 6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List Table 6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1">
    <w:name w:val="List Table 6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List Table 6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3">
    <w:name w:val="List Table 6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4">
    <w:name w:val="List Table 7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5">
    <w:name w:val="List Table 7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6">
    <w:name w:val="List Table 7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7">
    <w:name w:val="List Table 7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8">
    <w:name w:val="List Table 7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9">
    <w:name w:val="List Table 7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0">
    <w:name w:val="List Table 7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1">
    <w:name w:val="Lined - Accent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Lined - Accent 1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Lined - Accent 2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Lined - Accent 3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Lined - Accent 4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Lined - Accent 5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Lined - Accent 6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 &amp; Lined - Accent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Bordered &amp; Lined - Accent 1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Bordered &amp; Lined - Accent 2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Bordered &amp; Lined - Accent 3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Bordered &amp; Lined - Accent 4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Bordered &amp; Lined - Accent 5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Bordered &amp; Lined - Accent 6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6">
    <w:name w:val="Bordered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7">
    <w:name w:val="Bordered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8">
    <w:name w:val="Bordered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9">
    <w:name w:val="Bordered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0">
    <w:name w:val="Bordered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1">
    <w:name w:val="Bordered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2">
    <w:name w:val="Footnote Text Char"/>
    <w:link w:val="1012"/>
    <w:uiPriority w:val="99"/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spacing w:after="0" w:line="240" w:lineRule="auto"/>
    </w:pPr>
    <w:rPr>
      <w:sz w:val="20"/>
    </w:rPr>
  </w:style>
  <w:style w:type="character" w:styleId="914">
    <w:name w:val="Endnote Text Char"/>
    <w:link w:val="913"/>
    <w:uiPriority w:val="99"/>
    <w:rPr>
      <w:sz w:val="20"/>
    </w:rPr>
  </w:style>
  <w:style w:type="character" w:styleId="915">
    <w:name w:val="endnote reference"/>
    <w:basedOn w:val="934"/>
    <w:uiPriority w:val="99"/>
    <w:semiHidden/>
    <w:unhideWhenUsed/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ind w:left="0" w:right="0" w:firstLine="0"/>
      <w:spacing w:after="57"/>
    </w:pPr>
  </w:style>
  <w:style w:type="paragraph" w:styleId="917">
    <w:name w:val="toc 2"/>
    <w:basedOn w:val="927"/>
    <w:next w:val="927"/>
    <w:uiPriority w:val="39"/>
    <w:unhideWhenUsed/>
    <w:pPr>
      <w:ind w:left="283" w:right="0" w:firstLine="0"/>
      <w:spacing w:after="57"/>
    </w:pPr>
  </w:style>
  <w:style w:type="paragraph" w:styleId="918">
    <w:name w:val="toc 3"/>
    <w:basedOn w:val="927"/>
    <w:next w:val="927"/>
    <w:uiPriority w:val="39"/>
    <w:unhideWhenUsed/>
    <w:pPr>
      <w:ind w:left="567" w:right="0" w:firstLine="0"/>
      <w:spacing w:after="57"/>
    </w:pPr>
  </w:style>
  <w:style w:type="paragraph" w:styleId="919">
    <w:name w:val="toc 4"/>
    <w:basedOn w:val="927"/>
    <w:next w:val="927"/>
    <w:uiPriority w:val="39"/>
    <w:unhideWhenUsed/>
    <w:pPr>
      <w:ind w:left="850" w:right="0" w:firstLine="0"/>
      <w:spacing w:after="57"/>
    </w:pPr>
  </w:style>
  <w:style w:type="paragraph" w:styleId="920">
    <w:name w:val="toc 5"/>
    <w:basedOn w:val="927"/>
    <w:next w:val="927"/>
    <w:uiPriority w:val="39"/>
    <w:unhideWhenUsed/>
    <w:pPr>
      <w:ind w:left="1134" w:right="0" w:firstLine="0"/>
      <w:spacing w:after="57"/>
    </w:pPr>
  </w:style>
  <w:style w:type="paragraph" w:styleId="921">
    <w:name w:val="toc 6"/>
    <w:basedOn w:val="927"/>
    <w:next w:val="927"/>
    <w:uiPriority w:val="39"/>
    <w:unhideWhenUsed/>
    <w:pPr>
      <w:ind w:left="1417" w:right="0" w:firstLine="0"/>
      <w:spacing w:after="57"/>
    </w:pPr>
  </w:style>
  <w:style w:type="paragraph" w:styleId="922">
    <w:name w:val="toc 7"/>
    <w:basedOn w:val="927"/>
    <w:next w:val="927"/>
    <w:uiPriority w:val="39"/>
    <w:unhideWhenUsed/>
    <w:pPr>
      <w:ind w:left="1701" w:right="0" w:firstLine="0"/>
      <w:spacing w:after="57"/>
    </w:pPr>
  </w:style>
  <w:style w:type="paragraph" w:styleId="923">
    <w:name w:val="toc 8"/>
    <w:basedOn w:val="927"/>
    <w:next w:val="927"/>
    <w:uiPriority w:val="39"/>
    <w:unhideWhenUsed/>
    <w:pPr>
      <w:ind w:left="1984" w:right="0" w:firstLine="0"/>
      <w:spacing w:after="57"/>
    </w:pPr>
  </w:style>
  <w:style w:type="paragraph" w:styleId="924">
    <w:name w:val="toc 9"/>
    <w:basedOn w:val="927"/>
    <w:next w:val="927"/>
    <w:uiPriority w:val="39"/>
    <w:unhideWhenUsed/>
    <w:pPr>
      <w:ind w:left="2268" w:right="0" w:firstLine="0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927"/>
    <w:next w:val="927"/>
    <w:uiPriority w:val="99"/>
    <w:unhideWhenUsed/>
    <w:pPr>
      <w:spacing w:after="0" w:afterAutospacing="0"/>
    </w:pPr>
  </w:style>
  <w:style w:type="paragraph" w:styleId="927" w:default="1">
    <w:name w:val="Normal"/>
    <w:qFormat/>
    <w:rPr>
      <w:rFonts w:ascii="Times New Roman" w:hAnsi="Times New Roman" w:eastAsia="Times New Roman"/>
    </w:rPr>
  </w:style>
  <w:style w:type="paragraph" w:styleId="928">
    <w:name w:val="Heading 1"/>
    <w:basedOn w:val="927"/>
    <w:next w:val="927"/>
    <w:link w:val="972"/>
    <w:qFormat/>
    <w:pPr>
      <w:keepNext/>
      <w:outlineLvl w:val="0"/>
    </w:pPr>
    <w:rPr>
      <w:sz w:val="28"/>
      <w:szCs w:val="24"/>
    </w:rPr>
  </w:style>
  <w:style w:type="paragraph" w:styleId="929">
    <w:name w:val="Heading 2"/>
    <w:basedOn w:val="927"/>
    <w:next w:val="927"/>
    <w:link w:val="967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30">
    <w:name w:val="Heading 3"/>
    <w:basedOn w:val="927"/>
    <w:next w:val="927"/>
    <w:link w:val="980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31">
    <w:name w:val="Heading 4"/>
    <w:basedOn w:val="927"/>
    <w:next w:val="927"/>
    <w:link w:val="981"/>
    <w:qFormat/>
    <w:pPr>
      <w:keepNext/>
      <w:outlineLvl w:val="3"/>
    </w:pPr>
    <w:rPr>
      <w:b/>
      <w:bCs/>
      <w:sz w:val="28"/>
      <w:szCs w:val="24"/>
    </w:rPr>
  </w:style>
  <w:style w:type="paragraph" w:styleId="932">
    <w:name w:val="Heading 5"/>
    <w:basedOn w:val="927"/>
    <w:next w:val="927"/>
    <w:link w:val="982"/>
    <w:qFormat/>
    <w:pPr>
      <w:jc w:val="center"/>
      <w:keepNext/>
      <w:outlineLvl w:val="4"/>
    </w:pPr>
    <w:rPr>
      <w:i/>
      <w:sz w:val="24"/>
      <w:szCs w:val="24"/>
    </w:rPr>
  </w:style>
  <w:style w:type="paragraph" w:styleId="933">
    <w:name w:val="Heading 7"/>
    <w:basedOn w:val="927"/>
    <w:next w:val="927"/>
    <w:qFormat/>
    <w:pPr>
      <w:spacing w:before="240" w:after="60"/>
      <w:outlineLvl w:val="6"/>
    </w:pPr>
    <w:rPr>
      <w:sz w:val="24"/>
      <w:szCs w:val="24"/>
    </w:rPr>
  </w:style>
  <w:style w:type="character" w:styleId="934" w:default="1">
    <w:name w:val="Default Paragraph Font"/>
    <w:uiPriority w:val="1"/>
    <w:semiHidden/>
    <w:unhideWhenUsed/>
  </w:style>
  <w:style w:type="table" w:styleId="9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6" w:default="1">
    <w:name w:val="No List"/>
    <w:uiPriority w:val="99"/>
    <w:semiHidden/>
    <w:unhideWhenUsed/>
  </w:style>
  <w:style w:type="paragraph" w:styleId="937">
    <w:name w:val="Balloon Text"/>
    <w:basedOn w:val="927"/>
    <w:link w:val="938"/>
    <w:uiPriority w:val="99"/>
    <w:semiHidden/>
    <w:unhideWhenUsed/>
    <w:rPr>
      <w:rFonts w:ascii="Tahoma" w:hAnsi="Tahoma" w:cs="Tahoma"/>
      <w:sz w:val="16"/>
      <w:szCs w:val="16"/>
    </w:rPr>
  </w:style>
  <w:style w:type="character" w:styleId="938" w:customStyle="1">
    <w:name w:val="Текст выноски Знак"/>
    <w:link w:val="937"/>
    <w:uiPriority w:val="99"/>
    <w:semiHidden/>
    <w:rPr>
      <w:rFonts w:ascii="Tahoma" w:hAnsi="Tahoma" w:cs="Tahoma"/>
      <w:sz w:val="16"/>
      <w:szCs w:val="16"/>
    </w:rPr>
  </w:style>
  <w:style w:type="paragraph" w:styleId="939">
    <w:name w:val="E-mail Signature"/>
    <w:basedOn w:val="927"/>
    <w:link w:val="940"/>
    <w:uiPriority w:val="99"/>
    <w:semiHidden/>
    <w:unhideWhenUsed/>
    <w:rPr>
      <w:rFonts w:ascii="Calibri" w:hAnsi="Calibri"/>
      <w:sz w:val="22"/>
      <w:szCs w:val="22"/>
    </w:rPr>
  </w:style>
  <w:style w:type="character" w:styleId="940" w:customStyle="1">
    <w:name w:val="Электронная подпись Знак"/>
    <w:link w:val="939"/>
    <w:uiPriority w:val="99"/>
    <w:semiHidden/>
    <w:rPr>
      <w:rFonts w:ascii="Calibri" w:hAnsi="Calibri" w:eastAsia="Times New Roman" w:cs="Times New Roman"/>
      <w:lang w:eastAsia="ru-RU"/>
    </w:rPr>
  </w:style>
  <w:style w:type="paragraph" w:styleId="941" w:customStyle="1">
    <w:name w:val="Знак"/>
    <w:basedOn w:val="92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942">
    <w:name w:val="Table Grid"/>
    <w:basedOn w:val="93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3">
    <w:name w:val="Body Text Indent"/>
    <w:basedOn w:val="927"/>
    <w:link w:val="983"/>
    <w:pPr>
      <w:ind w:left="283"/>
      <w:spacing w:after="120"/>
    </w:pPr>
    <w:rPr>
      <w:sz w:val="24"/>
      <w:szCs w:val="24"/>
    </w:rPr>
  </w:style>
  <w:style w:type="paragraph" w:styleId="944" w:customStyle="1">
    <w:name w:val="ConsPlusNormal"/>
    <w:pPr>
      <w:ind w:firstLine="720"/>
      <w:widowControl w:val="off"/>
    </w:pPr>
    <w:rPr>
      <w:rFonts w:ascii="Arial" w:hAnsi="Arial" w:eastAsia="Times New Roman" w:cs="Arial"/>
    </w:rPr>
  </w:style>
  <w:style w:type="paragraph" w:styleId="945">
    <w:name w:val="List Paragraph"/>
    <w:basedOn w:val="927"/>
    <w:link w:val="974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46">
    <w:name w:val="Body Text"/>
    <w:basedOn w:val="927"/>
    <w:link w:val="973"/>
    <w:uiPriority w:val="1"/>
    <w:qFormat/>
    <w:pPr>
      <w:spacing w:after="120"/>
    </w:pPr>
  </w:style>
  <w:style w:type="character" w:styleId="947">
    <w:name w:val="Hyperlink"/>
    <w:unhideWhenUsed/>
    <w:rPr>
      <w:color w:val="0000ff"/>
      <w:u w:val="single"/>
    </w:rPr>
  </w:style>
  <w:style w:type="character" w:styleId="948">
    <w:name w:val="FollowedHyperlink"/>
    <w:uiPriority w:val="99"/>
    <w:rPr>
      <w:color w:val="800080"/>
      <w:u w:val="single"/>
    </w:rPr>
  </w:style>
  <w:style w:type="paragraph" w:styleId="949">
    <w:name w:val="Title"/>
    <w:basedOn w:val="927"/>
    <w:link w:val="987"/>
    <w:qFormat/>
    <w:pPr>
      <w:jc w:val="center"/>
    </w:pPr>
    <w:rPr>
      <w:b/>
      <w:sz w:val="24"/>
      <w:szCs w:val="24"/>
    </w:rPr>
  </w:style>
  <w:style w:type="paragraph" w:styleId="950">
    <w:name w:val="Body Text Indent 2"/>
    <w:basedOn w:val="927"/>
    <w:link w:val="988"/>
    <w:pPr>
      <w:ind w:left="708"/>
      <w:jc w:val="both"/>
    </w:pPr>
    <w:rPr>
      <w:sz w:val="28"/>
      <w:szCs w:val="24"/>
    </w:rPr>
  </w:style>
  <w:style w:type="paragraph" w:styleId="951">
    <w:name w:val="Body Text Indent 3"/>
    <w:basedOn w:val="927"/>
    <w:link w:val="989"/>
    <w:pPr>
      <w:ind w:left="708" w:firstLine="709"/>
      <w:jc w:val="both"/>
    </w:pPr>
    <w:rPr>
      <w:sz w:val="28"/>
      <w:szCs w:val="24"/>
    </w:rPr>
  </w:style>
  <w:style w:type="paragraph" w:styleId="952">
    <w:name w:val="Body Text 2"/>
    <w:basedOn w:val="927"/>
    <w:link w:val="990"/>
    <w:pPr>
      <w:jc w:val="center"/>
    </w:pPr>
    <w:rPr>
      <w:bCs/>
      <w:sz w:val="28"/>
      <w:szCs w:val="24"/>
    </w:rPr>
  </w:style>
  <w:style w:type="character" w:styleId="953" w:customStyle="1">
    <w:name w:val="Заголовок 7 Знак"/>
    <w:rPr>
      <w:sz w:val="24"/>
      <w:szCs w:val="24"/>
    </w:rPr>
  </w:style>
  <w:style w:type="paragraph" w:styleId="954">
    <w:name w:val="Body Text 3"/>
    <w:basedOn w:val="927"/>
    <w:link w:val="991"/>
    <w:rPr>
      <w:sz w:val="24"/>
    </w:rPr>
  </w:style>
  <w:style w:type="paragraph" w:styleId="955">
    <w:name w:val="Header"/>
    <w:basedOn w:val="927"/>
    <w:link w:val="979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paragraph" w:styleId="956">
    <w:name w:val="Footer"/>
    <w:basedOn w:val="927"/>
    <w:link w:val="985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paragraph" w:styleId="957" w:customStyle="1">
    <w:name w:val="Знак1 Знак Знак Знак Знак Знак Знак"/>
    <w:basedOn w:val="927"/>
    <w:pPr>
      <w:spacing w:after="160" w:line="240" w:lineRule="exact"/>
    </w:pPr>
    <w:rPr>
      <w:rFonts w:ascii="Verdana" w:hAnsi="Verdana"/>
      <w:lang w:val="en-US" w:eastAsia="en-US"/>
    </w:rPr>
  </w:style>
  <w:style w:type="paragraph" w:styleId="958" w:customStyle="1">
    <w:name w:val="Знак1"/>
    <w:basedOn w:val="927"/>
    <w:pPr>
      <w:spacing w:after="160" w:line="240" w:lineRule="exact"/>
    </w:pPr>
    <w:rPr>
      <w:rFonts w:ascii="Verdana" w:hAnsi="Verdana"/>
      <w:lang w:val="en-US" w:eastAsia="en-US"/>
    </w:rPr>
  </w:style>
  <w:style w:type="paragraph" w:styleId="959" w:customStyle="1">
    <w:name w:val="Знак"/>
    <w:basedOn w:val="927"/>
    <w:pPr>
      <w:spacing w:after="160" w:line="240" w:lineRule="exact"/>
    </w:pPr>
    <w:rPr>
      <w:rFonts w:ascii="Verdana" w:hAnsi="Verdana"/>
      <w:lang w:val="en-US" w:eastAsia="en-US"/>
    </w:rPr>
  </w:style>
  <w:style w:type="paragraph" w:styleId="960">
    <w:name w:val="Plain Text"/>
    <w:basedOn w:val="927"/>
    <w:link w:val="970"/>
    <w:rPr>
      <w:rFonts w:ascii="Courier New" w:hAnsi="Courier New" w:cs="Courier New"/>
    </w:rPr>
  </w:style>
  <w:style w:type="paragraph" w:styleId="961">
    <w:name w:val="Normal (Web)"/>
    <w:basedOn w:val="927"/>
    <w:uiPriority w:val="99"/>
    <w:pPr>
      <w:ind w:firstLine="75"/>
      <w:spacing w:before="75" w:after="75"/>
    </w:pPr>
    <w:rPr>
      <w:rFonts w:ascii="Arial" w:hAnsi="Arial" w:cs="Arial"/>
      <w:sz w:val="24"/>
      <w:szCs w:val="24"/>
    </w:rPr>
  </w:style>
  <w:style w:type="character" w:styleId="962">
    <w:name w:val="page number"/>
    <w:basedOn w:val="934"/>
    <w:uiPriority w:val="99"/>
  </w:style>
  <w:style w:type="paragraph" w:styleId="963" w:customStyle="1">
    <w:name w:val="Основной текст 21"/>
    <w:basedOn w:val="927"/>
    <w:pPr>
      <w:ind w:firstLine="360"/>
      <w:jc w:val="both"/>
    </w:pPr>
    <w:rPr>
      <w:sz w:val="24"/>
    </w:rPr>
  </w:style>
  <w:style w:type="paragraph" w:styleId="964" w:customStyle="1">
    <w:name w:val="Знак Знак Знак Знак Знак Знак Знак Знак Знак Знак"/>
    <w:basedOn w:val="927"/>
    <w:pPr>
      <w:spacing w:after="160" w:line="240" w:lineRule="exact"/>
    </w:pPr>
    <w:rPr>
      <w:rFonts w:ascii="Verdana" w:hAnsi="Verdana"/>
      <w:lang w:val="en-US" w:eastAsia="en-US"/>
    </w:rPr>
  </w:style>
  <w:style w:type="paragraph" w:styleId="965" w:customStyle="1">
    <w:name w:val="Знак Знак Знак Знак"/>
    <w:basedOn w:val="927"/>
    <w:pPr>
      <w:spacing w:after="160" w:line="240" w:lineRule="exact"/>
    </w:pPr>
    <w:rPr>
      <w:rFonts w:ascii="Verdana" w:hAnsi="Verdana"/>
      <w:lang w:val="en-US" w:eastAsia="en-US"/>
    </w:rPr>
  </w:style>
  <w:style w:type="paragraph" w:styleId="966" w:customStyle="1">
    <w:name w:val="ConsPlusTitle"/>
    <w:rPr>
      <w:rFonts w:ascii="Times New Roman" w:hAnsi="Times New Roman" w:eastAsia="Times New Roman"/>
      <w:b/>
      <w:bCs/>
      <w:sz w:val="28"/>
      <w:szCs w:val="28"/>
    </w:rPr>
  </w:style>
  <w:style w:type="character" w:styleId="967" w:customStyle="1">
    <w:name w:val="Заголовок 2 Знак"/>
    <w:link w:val="92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968" w:customStyle="1">
    <w:name w:val="zagolovok"/>
    <w:basedOn w:val="934"/>
  </w:style>
  <w:style w:type="paragraph" w:styleId="969" w:customStyle="1">
    <w:name w:val="Char Char Char"/>
    <w:basedOn w:val="92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970" w:customStyle="1">
    <w:name w:val="Текст Знак"/>
    <w:link w:val="960"/>
    <w:rPr>
      <w:rFonts w:ascii="Courier New" w:hAnsi="Courier New" w:cs="Courier New"/>
      <w:lang w:val="ru-RU" w:eastAsia="ru-RU" w:bidi="ar-SA"/>
    </w:rPr>
  </w:style>
  <w:style w:type="character" w:styleId="971" w:customStyle="1">
    <w:name w:val="Font Style26"/>
    <w:rPr>
      <w:rFonts w:ascii="Times New Roman" w:hAnsi="Times New Roman" w:cs="Times New Roman"/>
      <w:sz w:val="24"/>
      <w:szCs w:val="24"/>
    </w:rPr>
  </w:style>
  <w:style w:type="character" w:styleId="972" w:customStyle="1">
    <w:name w:val="Заголовок 1 Знак"/>
    <w:link w:val="928"/>
    <w:qFormat/>
    <w:rPr>
      <w:rFonts w:ascii="Times New Roman" w:hAnsi="Times New Roman" w:eastAsia="Times New Roman"/>
      <w:sz w:val="28"/>
      <w:szCs w:val="24"/>
    </w:rPr>
  </w:style>
  <w:style w:type="character" w:styleId="973" w:customStyle="1">
    <w:name w:val="Основной текст Знак"/>
    <w:link w:val="946"/>
    <w:uiPriority w:val="1"/>
    <w:rPr>
      <w:rFonts w:ascii="Times New Roman" w:hAnsi="Times New Roman" w:eastAsia="Times New Roman"/>
    </w:rPr>
  </w:style>
  <w:style w:type="character" w:styleId="974" w:customStyle="1">
    <w:name w:val="Абзац списка Знак"/>
    <w:link w:val="945"/>
    <w:uiPriority w:val="34"/>
    <w:rPr>
      <w:rFonts w:eastAsia="Times New Roman"/>
      <w:sz w:val="22"/>
      <w:szCs w:val="22"/>
    </w:rPr>
  </w:style>
  <w:style w:type="character" w:styleId="975" w:customStyle="1">
    <w:name w:val="Гипертекстовая ссылка"/>
    <w:uiPriority w:val="99"/>
    <w:rPr>
      <w:b/>
      <w:bCs/>
      <w:color w:val="106bbe"/>
    </w:rPr>
  </w:style>
  <w:style w:type="paragraph" w:styleId="976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977" w:customStyle="1">
    <w:name w:val="Без интервала Знак"/>
    <w:link w:val="978"/>
    <w:uiPriority w:val="1"/>
    <w:qFormat/>
    <w:rPr>
      <w:rFonts w:cs="Calibri"/>
    </w:rPr>
  </w:style>
  <w:style w:type="paragraph" w:styleId="978">
    <w:name w:val="No Spacing"/>
    <w:link w:val="977"/>
    <w:uiPriority w:val="1"/>
    <w:qFormat/>
    <w:rPr>
      <w:rFonts w:cs="Calibri"/>
    </w:rPr>
  </w:style>
  <w:style w:type="character" w:styleId="979" w:customStyle="1">
    <w:name w:val="Верхний колонтитул Знак"/>
    <w:basedOn w:val="934"/>
    <w:link w:val="955"/>
    <w:uiPriority w:val="99"/>
    <w:rPr>
      <w:rFonts w:ascii="Times New Roman" w:hAnsi="Times New Roman" w:eastAsia="Times New Roman"/>
      <w:sz w:val="28"/>
      <w:szCs w:val="24"/>
    </w:rPr>
  </w:style>
  <w:style w:type="character" w:styleId="980" w:customStyle="1">
    <w:name w:val="Заголовок 3 Знак"/>
    <w:basedOn w:val="934"/>
    <w:link w:val="930"/>
    <w:uiPriority w:val="9"/>
    <w:rPr>
      <w:rFonts w:ascii="Arial" w:hAnsi="Arial" w:eastAsia="Times New Roman" w:cs="Arial"/>
      <w:b/>
      <w:bCs/>
      <w:sz w:val="26"/>
      <w:szCs w:val="26"/>
    </w:rPr>
  </w:style>
  <w:style w:type="character" w:styleId="981" w:customStyle="1">
    <w:name w:val="Заголовок 4 Знак"/>
    <w:basedOn w:val="934"/>
    <w:link w:val="931"/>
    <w:rPr>
      <w:rFonts w:ascii="Times New Roman" w:hAnsi="Times New Roman" w:eastAsia="Times New Roman"/>
      <w:b/>
      <w:bCs/>
      <w:sz w:val="28"/>
      <w:szCs w:val="24"/>
    </w:rPr>
  </w:style>
  <w:style w:type="character" w:styleId="982" w:customStyle="1">
    <w:name w:val="Заголовок 5 Знак"/>
    <w:basedOn w:val="934"/>
    <w:link w:val="932"/>
    <w:rPr>
      <w:rFonts w:ascii="Times New Roman" w:hAnsi="Times New Roman" w:eastAsia="Times New Roman"/>
      <w:i/>
      <w:sz w:val="24"/>
      <w:szCs w:val="24"/>
    </w:rPr>
  </w:style>
  <w:style w:type="character" w:styleId="983" w:customStyle="1">
    <w:name w:val="Основной текст с отступом Знак"/>
    <w:basedOn w:val="934"/>
    <w:link w:val="943"/>
    <w:rPr>
      <w:rFonts w:ascii="Times New Roman" w:hAnsi="Times New Roman" w:eastAsia="Times New Roman"/>
      <w:sz w:val="24"/>
      <w:szCs w:val="24"/>
    </w:rPr>
  </w:style>
  <w:style w:type="character" w:styleId="984">
    <w:name w:val="Strong"/>
    <w:uiPriority w:val="22"/>
    <w:qFormat/>
    <w:rPr>
      <w:b/>
      <w:bCs/>
    </w:rPr>
  </w:style>
  <w:style w:type="character" w:styleId="985" w:customStyle="1">
    <w:name w:val="Нижний колонтитул Знак"/>
    <w:basedOn w:val="934"/>
    <w:link w:val="956"/>
    <w:uiPriority w:val="99"/>
    <w:rPr>
      <w:rFonts w:ascii="Times New Roman" w:hAnsi="Times New Roman" w:eastAsia="Times New Roman"/>
      <w:sz w:val="28"/>
      <w:szCs w:val="24"/>
    </w:rPr>
  </w:style>
  <w:style w:type="character" w:styleId="986" w:customStyle="1">
    <w:name w:val="apple-converted-space"/>
    <w:basedOn w:val="934"/>
  </w:style>
  <w:style w:type="character" w:styleId="987" w:customStyle="1">
    <w:name w:val="Название Знак"/>
    <w:basedOn w:val="934"/>
    <w:link w:val="949"/>
    <w:rPr>
      <w:rFonts w:ascii="Times New Roman" w:hAnsi="Times New Roman" w:eastAsia="Times New Roman"/>
      <w:b/>
      <w:sz w:val="24"/>
      <w:szCs w:val="24"/>
    </w:rPr>
  </w:style>
  <w:style w:type="character" w:styleId="988" w:customStyle="1">
    <w:name w:val="Основной текст с отступом 2 Знак"/>
    <w:basedOn w:val="934"/>
    <w:link w:val="950"/>
    <w:rPr>
      <w:rFonts w:ascii="Times New Roman" w:hAnsi="Times New Roman" w:eastAsia="Times New Roman"/>
      <w:sz w:val="28"/>
      <w:szCs w:val="24"/>
    </w:rPr>
  </w:style>
  <w:style w:type="character" w:styleId="989" w:customStyle="1">
    <w:name w:val="Основной текст с отступом 3 Знак"/>
    <w:basedOn w:val="934"/>
    <w:link w:val="951"/>
    <w:rPr>
      <w:rFonts w:ascii="Times New Roman" w:hAnsi="Times New Roman" w:eastAsia="Times New Roman"/>
      <w:sz w:val="28"/>
      <w:szCs w:val="24"/>
    </w:rPr>
  </w:style>
  <w:style w:type="character" w:styleId="990" w:customStyle="1">
    <w:name w:val="Основной текст 2 Знак"/>
    <w:basedOn w:val="934"/>
    <w:link w:val="952"/>
    <w:rPr>
      <w:rFonts w:ascii="Times New Roman" w:hAnsi="Times New Roman" w:eastAsia="Times New Roman"/>
      <w:bCs/>
      <w:sz w:val="28"/>
      <w:szCs w:val="24"/>
    </w:rPr>
  </w:style>
  <w:style w:type="character" w:styleId="991" w:customStyle="1">
    <w:name w:val="Основной текст 3 Знак"/>
    <w:basedOn w:val="934"/>
    <w:link w:val="954"/>
    <w:rPr>
      <w:rFonts w:ascii="Times New Roman" w:hAnsi="Times New Roman" w:eastAsia="Times New Roman"/>
      <w:sz w:val="24"/>
    </w:rPr>
  </w:style>
  <w:style w:type="paragraph" w:styleId="992" w:customStyle="1">
    <w:name w:val="Абзац списка1"/>
    <w:basedOn w:val="927"/>
    <w:pPr>
      <w:ind w:left="720"/>
    </w:pPr>
    <w:rPr>
      <w:rFonts w:eastAsia="Calibri"/>
      <w:sz w:val="24"/>
      <w:szCs w:val="24"/>
    </w:rPr>
  </w:style>
  <w:style w:type="character" w:styleId="993" w:customStyle="1">
    <w:name w:val="Основной текст (17) + Book Antiqua;9 pt"/>
    <w:basedOn w:val="934"/>
    <w:rPr>
      <w:rFonts w:ascii="Book Antiqua" w:hAnsi="Book Antiqua" w:eastAsia="Book Antiqua" w:cs="Book Antiqu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994">
    <w:name w:val="Emphasis"/>
    <w:basedOn w:val="934"/>
    <w:uiPriority w:val="20"/>
    <w:qFormat/>
    <w:rPr>
      <w:i/>
      <w:iCs/>
    </w:rPr>
  </w:style>
  <w:style w:type="character" w:styleId="995">
    <w:name w:val="annotation reference"/>
    <w:basedOn w:val="934"/>
    <w:uiPriority w:val="99"/>
    <w:semiHidden/>
    <w:unhideWhenUsed/>
    <w:rPr>
      <w:sz w:val="16"/>
      <w:szCs w:val="16"/>
    </w:rPr>
  </w:style>
  <w:style w:type="paragraph" w:styleId="996">
    <w:name w:val="annotation text"/>
    <w:basedOn w:val="927"/>
    <w:link w:val="997"/>
    <w:uiPriority w:val="99"/>
    <w:semiHidden/>
    <w:unhideWhenUsed/>
  </w:style>
  <w:style w:type="character" w:styleId="997" w:customStyle="1">
    <w:name w:val="Текст примечания Знак"/>
    <w:basedOn w:val="934"/>
    <w:link w:val="996"/>
    <w:uiPriority w:val="99"/>
    <w:semiHidden/>
    <w:rPr>
      <w:rFonts w:ascii="Times New Roman" w:hAnsi="Times New Roman" w:eastAsia="Times New Roman"/>
    </w:rPr>
  </w:style>
  <w:style w:type="paragraph" w:styleId="998">
    <w:name w:val="annotation subject"/>
    <w:basedOn w:val="996"/>
    <w:next w:val="996"/>
    <w:link w:val="999"/>
    <w:uiPriority w:val="99"/>
    <w:semiHidden/>
    <w:unhideWhenUsed/>
    <w:rPr>
      <w:b/>
      <w:bCs/>
    </w:rPr>
  </w:style>
  <w:style w:type="character" w:styleId="999" w:customStyle="1">
    <w:name w:val="Тема примечания Знак"/>
    <w:basedOn w:val="997"/>
    <w:link w:val="998"/>
    <w:uiPriority w:val="99"/>
    <w:semiHidden/>
    <w:rPr>
      <w:rFonts w:ascii="Times New Roman" w:hAnsi="Times New Roman" w:eastAsia="Times New Roman"/>
      <w:b/>
      <w:bCs/>
    </w:rPr>
  </w:style>
  <w:style w:type="paragraph" w:styleId="1000" w:customStyle="1">
    <w:name w:val="msonormal_mailru_css_attribute_postfix_mailru_css_attribute_postfix"/>
    <w:basedOn w:val="927"/>
    <w:pPr>
      <w:spacing w:before="100" w:beforeAutospacing="1" w:after="100" w:afterAutospacing="1"/>
    </w:pPr>
    <w:rPr>
      <w:sz w:val="24"/>
      <w:szCs w:val="24"/>
    </w:rPr>
  </w:style>
  <w:style w:type="character" w:styleId="1001" w:customStyle="1">
    <w:name w:val="Основной текст (2)_"/>
    <w:basedOn w:val="934"/>
    <w:link w:val="1002"/>
    <w:rPr>
      <w:rFonts w:eastAsia="Times New Roman"/>
      <w:sz w:val="26"/>
      <w:szCs w:val="26"/>
      <w:shd w:val="clear" w:color="auto" w:fill="ffffff"/>
    </w:rPr>
  </w:style>
  <w:style w:type="paragraph" w:styleId="1002" w:customStyle="1">
    <w:name w:val="Основной текст (2)"/>
    <w:basedOn w:val="927"/>
    <w:link w:val="1001"/>
    <w:pPr>
      <w:ind w:hanging="1240"/>
      <w:jc w:val="center"/>
      <w:spacing w:line="310" w:lineRule="exact"/>
      <w:shd w:val="clear" w:color="auto" w:fill="ffffff"/>
      <w:widowControl w:val="off"/>
    </w:pPr>
    <w:rPr>
      <w:rFonts w:ascii="Calibri" w:hAnsi="Calibri"/>
      <w:sz w:val="26"/>
      <w:szCs w:val="26"/>
    </w:rPr>
  </w:style>
  <w:style w:type="character" w:styleId="1003" w:customStyle="1">
    <w:name w:val="Основной текст_"/>
    <w:basedOn w:val="934"/>
    <w:link w:val="1004"/>
    <w:rPr>
      <w:rFonts w:eastAsia="Times New Roman"/>
      <w:sz w:val="26"/>
      <w:szCs w:val="26"/>
      <w:shd w:val="clear" w:color="auto" w:fill="ffffff"/>
    </w:rPr>
  </w:style>
  <w:style w:type="paragraph" w:styleId="1004" w:customStyle="1">
    <w:name w:val="Основной текст1"/>
    <w:basedOn w:val="927"/>
    <w:link w:val="1003"/>
    <w:pPr>
      <w:jc w:val="right"/>
      <w:spacing w:before="420" w:line="322" w:lineRule="exact"/>
      <w:shd w:val="clear" w:color="auto" w:fill="ffffff"/>
      <w:widowControl w:val="off"/>
    </w:pPr>
    <w:rPr>
      <w:rFonts w:ascii="Calibri" w:hAnsi="Calibri"/>
      <w:sz w:val="26"/>
      <w:szCs w:val="26"/>
    </w:rPr>
  </w:style>
  <w:style w:type="character" w:styleId="1005" w:customStyle="1">
    <w:name w:val="Основной текст + 11;5 pt"/>
    <w:basedOn w:val="1003"/>
    <w:rPr>
      <w:rFonts w:eastAsia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character" w:styleId="1006" w:customStyle="1">
    <w:name w:val="Основной текст (3)_"/>
    <w:basedOn w:val="934"/>
    <w:link w:val="1007"/>
    <w:rPr>
      <w:rFonts w:eastAsia="Times New Roman"/>
      <w:sz w:val="23"/>
      <w:szCs w:val="23"/>
      <w:shd w:val="clear" w:color="auto" w:fill="ffffff"/>
    </w:rPr>
  </w:style>
  <w:style w:type="paragraph" w:styleId="1007" w:customStyle="1">
    <w:name w:val="Основной текст (3)"/>
    <w:basedOn w:val="927"/>
    <w:link w:val="1006"/>
    <w:pPr>
      <w:jc w:val="both"/>
      <w:spacing w:before="420" w:line="0" w:lineRule="atLeast"/>
      <w:shd w:val="clear" w:color="auto" w:fill="ffffff"/>
      <w:widowControl w:val="off"/>
    </w:pPr>
    <w:rPr>
      <w:rFonts w:ascii="Calibri" w:hAnsi="Calibri"/>
      <w:sz w:val="23"/>
      <w:szCs w:val="23"/>
    </w:rPr>
  </w:style>
  <w:style w:type="character" w:styleId="1008" w:customStyle="1">
    <w:name w:val="Основной текст + 11 pt;Полужирный"/>
    <w:basedOn w:val="1003"/>
    <w:rPr>
      <w:rFonts w:eastAsia="Times New Roman"/>
      <w:b/>
      <w:bCs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/>
    </w:rPr>
  </w:style>
  <w:style w:type="character" w:styleId="1009" w:customStyle="1">
    <w:name w:val="Основной текст + 11;5 pt;Курсив"/>
    <w:basedOn w:val="1003"/>
    <w:rPr>
      <w:rFonts w:eastAsia="Times New Roman"/>
      <w:b w:val="0"/>
      <w:bCs w:val="0"/>
      <w:i/>
      <w:iCs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/>
    </w:rPr>
  </w:style>
  <w:style w:type="character" w:styleId="1010" w:customStyle="1">
    <w:name w:val="Основной текст + Sylfaen;8 pt"/>
    <w:basedOn w:val="1003"/>
    <w:rPr>
      <w:rFonts w:ascii="Sylfaen" w:hAnsi="Sylfaen" w:eastAsia="Sylfaen" w:cs="Sylfaen"/>
      <w:b w:val="0"/>
      <w:bCs w:val="0"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shd w:val="clear" w:color="auto" w:fill="ffffff"/>
      <w:lang w:val="ru-RU"/>
    </w:rPr>
  </w:style>
  <w:style w:type="paragraph" w:styleId="1011" w:customStyle="1">
    <w:name w:val="Table Paragraph"/>
    <w:basedOn w:val="927"/>
    <w:uiPriority w:val="1"/>
    <w:qFormat/>
    <w:pPr>
      <w:widowControl w:val="off"/>
    </w:pPr>
    <w:rPr>
      <w:sz w:val="22"/>
      <w:szCs w:val="22"/>
      <w:lang w:eastAsia="en-US"/>
    </w:rPr>
  </w:style>
  <w:style w:type="paragraph" w:styleId="1012">
    <w:name w:val="footnote text"/>
    <w:basedOn w:val="927"/>
    <w:link w:val="1013"/>
    <w:uiPriority w:val="99"/>
    <w:semiHidden/>
    <w:unhideWhenUsed/>
  </w:style>
  <w:style w:type="character" w:styleId="1013" w:customStyle="1">
    <w:name w:val="Текст сноски Знак"/>
    <w:basedOn w:val="934"/>
    <w:link w:val="1012"/>
    <w:uiPriority w:val="99"/>
    <w:semiHidden/>
    <w:rPr>
      <w:rFonts w:ascii="Times New Roman" w:hAnsi="Times New Roman" w:eastAsia="Times New Roman"/>
    </w:rPr>
  </w:style>
  <w:style w:type="character" w:styleId="1014">
    <w:name w:val="footnote reference"/>
    <w:basedOn w:val="934"/>
    <w:uiPriority w:val="99"/>
    <w:semiHidden/>
    <w:unhideWhenUsed/>
    <w:rPr>
      <w:vertAlign w:val="superscript"/>
    </w:rPr>
  </w:style>
  <w:style w:type="character" w:styleId="1015" w:customStyle="1">
    <w:name w:val="Основной текст (30) Exact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645D-D71F-4234-BDA7-377D6D1DD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ДОиН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shsb</dc:creator>
  <cp:lastModifiedBy>SavickayaTV</cp:lastModifiedBy>
  <cp:revision>49</cp:revision>
  <dcterms:created xsi:type="dcterms:W3CDTF">2022-06-07T07:13:00Z</dcterms:created>
  <dcterms:modified xsi:type="dcterms:W3CDTF">2026-03-18T06:31:00Z</dcterms:modified>
</cp:coreProperties>
</file>